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FB580F" w14:textId="77777777" w:rsidR="00D55C1E" w:rsidRDefault="00EB0A4E">
      <w:pPr>
        <w:spacing w:before="120"/>
        <w:jc w:val="center"/>
      </w:pPr>
      <w:r>
        <w:rPr>
          <w:b/>
          <w:sz w:val="36"/>
          <w:szCs w:val="36"/>
        </w:rPr>
        <w:t>AAQEP Annual Report for 2023</w:t>
      </w:r>
    </w:p>
    <w:p w14:paraId="156DFF4F" w14:textId="77777777" w:rsidR="00D55C1E" w:rsidRDefault="00D55C1E">
      <w:pPr>
        <w:jc w:val="center"/>
      </w:pPr>
    </w:p>
    <w:tbl>
      <w:tblPr>
        <w:tblStyle w:val="a"/>
        <w:tblW w:w="1305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980"/>
        <w:gridCol w:w="8070"/>
      </w:tblGrid>
      <w:tr w:rsidR="00D55C1E" w14:paraId="5F483161" w14:textId="77777777">
        <w:trPr>
          <w:trHeight w:val="21"/>
        </w:trPr>
        <w:tc>
          <w:tcPr>
            <w:tcW w:w="4980" w:type="dxa"/>
            <w:tcMar>
              <w:top w:w="100" w:type="dxa"/>
              <w:left w:w="100" w:type="dxa"/>
              <w:bottom w:w="100" w:type="dxa"/>
              <w:right w:w="100" w:type="dxa"/>
            </w:tcMar>
          </w:tcPr>
          <w:p w14:paraId="37E83498" w14:textId="77777777" w:rsidR="00D55C1E" w:rsidRDefault="00EB0A4E">
            <w:pPr>
              <w:spacing w:line="276" w:lineRule="auto"/>
              <w:rPr>
                <w:rFonts w:ascii="Arial" w:eastAsia="Arial" w:hAnsi="Arial" w:cs="Arial"/>
                <w:sz w:val="22"/>
                <w:szCs w:val="22"/>
              </w:rPr>
            </w:pPr>
            <w:r>
              <w:rPr>
                <w:rFonts w:ascii="Arial" w:eastAsia="Arial" w:hAnsi="Arial" w:cs="Arial"/>
                <w:sz w:val="22"/>
                <w:szCs w:val="22"/>
              </w:rPr>
              <w:t>Provider/Program Name:</w:t>
            </w:r>
          </w:p>
        </w:tc>
        <w:tc>
          <w:tcPr>
            <w:tcW w:w="8070" w:type="dxa"/>
            <w:shd w:val="clear" w:color="auto" w:fill="D0E0E3"/>
            <w:tcMar>
              <w:top w:w="100" w:type="dxa"/>
              <w:left w:w="100" w:type="dxa"/>
              <w:bottom w:w="100" w:type="dxa"/>
              <w:right w:w="100" w:type="dxa"/>
            </w:tcMar>
          </w:tcPr>
          <w:p w14:paraId="62367C37" w14:textId="77777777" w:rsidR="00D55C1E" w:rsidRDefault="00EB0A4E">
            <w:pPr>
              <w:rPr>
                <w:rFonts w:ascii="Arial" w:eastAsia="Arial" w:hAnsi="Arial" w:cs="Arial"/>
                <w:sz w:val="22"/>
                <w:szCs w:val="22"/>
              </w:rPr>
            </w:pPr>
            <w:r>
              <w:rPr>
                <w:rFonts w:ascii="Arial" w:eastAsia="Arial" w:hAnsi="Arial" w:cs="Arial"/>
              </w:rPr>
              <w:t>University of Maryland College of Education Initial Teacher Education</w:t>
            </w:r>
          </w:p>
        </w:tc>
      </w:tr>
      <w:tr w:rsidR="00D55C1E" w14:paraId="419CB367" w14:textId="77777777">
        <w:trPr>
          <w:trHeight w:val="21"/>
        </w:trPr>
        <w:tc>
          <w:tcPr>
            <w:tcW w:w="4980" w:type="dxa"/>
            <w:tcMar>
              <w:top w:w="100" w:type="dxa"/>
              <w:left w:w="100" w:type="dxa"/>
              <w:bottom w:w="100" w:type="dxa"/>
              <w:right w:w="100" w:type="dxa"/>
            </w:tcMar>
          </w:tcPr>
          <w:p w14:paraId="6F9B498D" w14:textId="77777777" w:rsidR="00D55C1E" w:rsidRDefault="00EB0A4E">
            <w:pPr>
              <w:spacing w:line="276" w:lineRule="auto"/>
              <w:rPr>
                <w:rFonts w:ascii="Arial" w:eastAsia="Arial" w:hAnsi="Arial" w:cs="Arial"/>
                <w:sz w:val="22"/>
                <w:szCs w:val="22"/>
              </w:rPr>
            </w:pPr>
            <w:r>
              <w:rPr>
                <w:rFonts w:ascii="Arial" w:eastAsia="Arial" w:hAnsi="Arial" w:cs="Arial"/>
                <w:sz w:val="22"/>
                <w:szCs w:val="22"/>
              </w:rPr>
              <w:t>End Date of Current AAQEP Accreditation Term (or “n/a” if not yet accredited):</w:t>
            </w:r>
          </w:p>
        </w:tc>
        <w:tc>
          <w:tcPr>
            <w:tcW w:w="8070" w:type="dxa"/>
            <w:shd w:val="clear" w:color="auto" w:fill="D0E0E3"/>
            <w:tcMar>
              <w:top w:w="100" w:type="dxa"/>
              <w:left w:w="100" w:type="dxa"/>
              <w:bottom w:w="100" w:type="dxa"/>
              <w:right w:w="100" w:type="dxa"/>
            </w:tcMar>
          </w:tcPr>
          <w:p w14:paraId="336194F8" w14:textId="77777777" w:rsidR="00D55C1E" w:rsidRDefault="00EB0A4E">
            <w:pPr>
              <w:rPr>
                <w:rFonts w:ascii="Arial" w:eastAsia="Arial" w:hAnsi="Arial" w:cs="Arial"/>
                <w:sz w:val="22"/>
                <w:szCs w:val="22"/>
              </w:rPr>
            </w:pPr>
            <w:r>
              <w:rPr>
                <w:rFonts w:ascii="Arial" w:eastAsia="Arial" w:hAnsi="Arial" w:cs="Arial"/>
              </w:rPr>
              <w:t>June 30, 2027</w:t>
            </w:r>
          </w:p>
        </w:tc>
      </w:tr>
    </w:tbl>
    <w:p w14:paraId="339B50EF" w14:textId="77777777" w:rsidR="00D55C1E" w:rsidRDefault="00D55C1E">
      <w:pPr>
        <w:sectPr w:rsidR="00D55C1E">
          <w:footerReference w:type="default" r:id="rId9"/>
          <w:headerReference w:type="first" r:id="rId10"/>
          <w:footerReference w:type="first" r:id="rId11"/>
          <w:pgSz w:w="15840" w:h="12240" w:orient="landscape"/>
          <w:pgMar w:top="1440" w:right="1440" w:bottom="1440" w:left="1440" w:header="720" w:footer="720" w:gutter="0"/>
          <w:pgNumType w:start="1"/>
          <w:cols w:space="720"/>
          <w:titlePg/>
        </w:sectPr>
      </w:pPr>
    </w:p>
    <w:p w14:paraId="687CA47B" w14:textId="77777777" w:rsidR="00D55C1E" w:rsidRDefault="00D55C1E"/>
    <w:p w14:paraId="10BF03B7" w14:textId="77777777" w:rsidR="00D55C1E" w:rsidRDefault="00EB0A4E">
      <w:pPr>
        <w:jc w:val="center"/>
        <w:rPr>
          <w:b/>
          <w:sz w:val="32"/>
          <w:szCs w:val="32"/>
        </w:rPr>
      </w:pPr>
      <w:r>
        <w:rPr>
          <w:b/>
          <w:sz w:val="32"/>
          <w:szCs w:val="32"/>
        </w:rPr>
        <w:t>PART I: Publicly Available Program Performance and Candidate Achievement Data</w:t>
      </w:r>
    </w:p>
    <w:p w14:paraId="0AFE2EB8" w14:textId="77777777" w:rsidR="00D55C1E" w:rsidRDefault="00D55C1E"/>
    <w:p w14:paraId="5452F4E7" w14:textId="77777777" w:rsidR="00D55C1E" w:rsidRDefault="00EB0A4E">
      <w:pPr>
        <w:numPr>
          <w:ilvl w:val="0"/>
          <w:numId w:val="3"/>
        </w:numPr>
        <w:pBdr>
          <w:top w:val="nil"/>
          <w:left w:val="nil"/>
          <w:bottom w:val="nil"/>
          <w:right w:val="nil"/>
          <w:between w:val="nil"/>
        </w:pBdr>
        <w:spacing w:after="120"/>
        <w:ind w:left="360"/>
        <w:rPr>
          <w:b/>
          <w:color w:val="000000"/>
          <w:sz w:val="28"/>
          <w:szCs w:val="28"/>
        </w:rPr>
      </w:pPr>
      <w:r>
        <w:rPr>
          <w:b/>
          <w:color w:val="000000"/>
          <w:sz w:val="28"/>
          <w:szCs w:val="28"/>
        </w:rPr>
        <w:t>Overview and Context</w:t>
      </w:r>
    </w:p>
    <w:p w14:paraId="0D8A1444" w14:textId="77777777" w:rsidR="00D55C1E" w:rsidRDefault="00EB0A4E">
      <w:pPr>
        <w:spacing w:after="200"/>
      </w:pPr>
      <w:r>
        <w:t>This overview describes the mission and context of the educator preparation provider and the programs included in its AAQEP review.</w:t>
      </w:r>
    </w:p>
    <w:tbl>
      <w:tblPr>
        <w:tblStyle w:val="a0"/>
        <w:tblW w:w="12961"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2961"/>
      </w:tblGrid>
      <w:tr w:rsidR="00D55C1E" w14:paraId="7CE1D170" w14:textId="77777777">
        <w:trPr>
          <w:trHeight w:val="21"/>
        </w:trPr>
        <w:tc>
          <w:tcPr>
            <w:tcW w:w="12961" w:type="dxa"/>
            <w:shd w:val="clear" w:color="auto" w:fill="D0E0E3"/>
            <w:tcMar>
              <w:top w:w="100" w:type="dxa"/>
              <w:left w:w="100" w:type="dxa"/>
              <w:bottom w:w="100" w:type="dxa"/>
              <w:right w:w="100" w:type="dxa"/>
            </w:tcMar>
          </w:tcPr>
          <w:p w14:paraId="05384016" w14:textId="77777777" w:rsidR="00D55C1E" w:rsidRDefault="00EB0A4E">
            <w:pPr>
              <w:rPr>
                <w:rFonts w:ascii="Arial" w:eastAsia="Arial" w:hAnsi="Arial" w:cs="Arial"/>
                <w:sz w:val="22"/>
                <w:szCs w:val="22"/>
              </w:rPr>
            </w:pPr>
            <w:bookmarkStart w:id="0" w:name="_heading=h.gjdgxs" w:colFirst="0" w:colLast="0"/>
            <w:bookmarkEnd w:id="0"/>
            <w:r>
              <w:rPr>
                <w:rFonts w:ascii="Arial" w:eastAsia="Arial" w:hAnsi="Arial" w:cs="Arial"/>
                <w:sz w:val="22"/>
                <w:szCs w:val="22"/>
              </w:rPr>
              <w:t>The mission of the College of Education is to enhance the lives of individuals, families, schools, and communities through our research, teaching, and engagement. We create knowledge about critical facets of education and human development to advance state, national, and international communities. The College of Education prepares students to be the next generation of scholars, educators, and transformative leaders.</w:t>
            </w:r>
          </w:p>
          <w:p w14:paraId="59FF3520" w14:textId="77777777" w:rsidR="00D55C1E" w:rsidRDefault="00D55C1E">
            <w:pPr>
              <w:rPr>
                <w:rFonts w:ascii="Arial" w:eastAsia="Arial" w:hAnsi="Arial" w:cs="Arial"/>
                <w:sz w:val="22"/>
                <w:szCs w:val="22"/>
              </w:rPr>
            </w:pPr>
          </w:p>
          <w:p w14:paraId="2EA6021D" w14:textId="77777777" w:rsidR="00D55C1E" w:rsidRDefault="00EB0A4E">
            <w:pPr>
              <w:rPr>
                <w:rFonts w:ascii="Arial" w:eastAsia="Arial" w:hAnsi="Arial" w:cs="Arial"/>
                <w:sz w:val="22"/>
                <w:szCs w:val="22"/>
              </w:rPr>
            </w:pPr>
            <w:r>
              <w:rPr>
                <w:rFonts w:ascii="Arial" w:eastAsia="Arial" w:hAnsi="Arial" w:cs="Arial"/>
                <w:sz w:val="22"/>
                <w:szCs w:val="22"/>
              </w:rPr>
              <w:t xml:space="preserve">The College of Education provides research– and practice-oriented programs across a broad spectrum of education issues. Through its departments of Counseling, Higher Education and Special Education (CHSE), Human Development and Quantitative Methodology (HDQM), and Teaching and Learning, Policy and Leadership (TLPL), the College’s highly regarded faculty, staff, students, and alumni are committed to equity and social justice. </w:t>
            </w:r>
          </w:p>
          <w:p w14:paraId="31ABE52F" w14:textId="77777777" w:rsidR="00D55C1E" w:rsidRDefault="00D55C1E">
            <w:pPr>
              <w:rPr>
                <w:rFonts w:ascii="Arial" w:eastAsia="Arial" w:hAnsi="Arial" w:cs="Arial"/>
                <w:sz w:val="22"/>
                <w:szCs w:val="22"/>
              </w:rPr>
            </w:pPr>
          </w:p>
          <w:p w14:paraId="2A83FCF7" w14:textId="77777777" w:rsidR="00D55C1E" w:rsidRDefault="00EB0A4E">
            <w:pPr>
              <w:rPr>
                <w:rFonts w:ascii="Arial" w:eastAsia="Arial" w:hAnsi="Arial" w:cs="Arial"/>
                <w:sz w:val="22"/>
                <w:szCs w:val="22"/>
              </w:rPr>
            </w:pPr>
            <w:r>
              <w:rPr>
                <w:rFonts w:ascii="Arial" w:eastAsia="Arial" w:hAnsi="Arial" w:cs="Arial"/>
                <w:sz w:val="22"/>
                <w:szCs w:val="22"/>
              </w:rPr>
              <w:lastRenderedPageBreak/>
              <w:t xml:space="preserve">College programs prepare students to be educators, counselors, psychologists, administrators, researchers, and educational specialists. Graduates work with individuals from infancy through adulthood in schools, community agencies, colleges, and universities. </w:t>
            </w:r>
          </w:p>
          <w:p w14:paraId="248C4EBF" w14:textId="77777777" w:rsidR="00D55C1E" w:rsidRDefault="00D55C1E">
            <w:pPr>
              <w:rPr>
                <w:rFonts w:ascii="Arial" w:eastAsia="Arial" w:hAnsi="Arial" w:cs="Arial"/>
                <w:sz w:val="22"/>
                <w:szCs w:val="22"/>
              </w:rPr>
            </w:pPr>
          </w:p>
          <w:p w14:paraId="35B5C603" w14:textId="77777777" w:rsidR="00D55C1E" w:rsidRDefault="00EB0A4E">
            <w:pPr>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b/>
                <w:sz w:val="22"/>
                <w:szCs w:val="22"/>
              </w:rPr>
              <w:t xml:space="preserve">Department of Counseling, Higher Education, and Special Education (CHSE) </w:t>
            </w:r>
          </w:p>
          <w:p w14:paraId="197A25A7" w14:textId="77777777" w:rsidR="00D55C1E" w:rsidRDefault="00D55C1E">
            <w:pPr>
              <w:rPr>
                <w:rFonts w:ascii="Arial" w:eastAsia="Arial" w:hAnsi="Arial" w:cs="Arial"/>
                <w:sz w:val="22"/>
                <w:szCs w:val="22"/>
              </w:rPr>
            </w:pPr>
          </w:p>
          <w:p w14:paraId="7E0332DC" w14:textId="77777777" w:rsidR="00D55C1E" w:rsidRDefault="00EB0A4E">
            <w:pPr>
              <w:rPr>
                <w:rFonts w:ascii="Arial" w:eastAsia="Arial" w:hAnsi="Arial" w:cs="Arial"/>
                <w:sz w:val="22"/>
                <w:szCs w:val="22"/>
              </w:rPr>
            </w:pPr>
            <w:r>
              <w:rPr>
                <w:rFonts w:ascii="Arial" w:eastAsia="Arial" w:hAnsi="Arial" w:cs="Arial"/>
                <w:sz w:val="22"/>
                <w:szCs w:val="22"/>
              </w:rPr>
              <w:t xml:space="preserve">Its mission is to prepare scholars and practitioners to become administration, counseling, policy, psychological services, and special education leaders. CHSE strives to promote excellence in education and human services across the spectrum of abilities and individual differences, from birth to adulthood, in a wide range of settings. </w:t>
            </w:r>
          </w:p>
          <w:p w14:paraId="5BC30ECB" w14:textId="77777777" w:rsidR="00D55C1E" w:rsidRDefault="00D55C1E">
            <w:pPr>
              <w:rPr>
                <w:rFonts w:ascii="Arial" w:eastAsia="Arial" w:hAnsi="Arial" w:cs="Arial"/>
                <w:sz w:val="22"/>
                <w:szCs w:val="22"/>
              </w:rPr>
            </w:pPr>
          </w:p>
          <w:p w14:paraId="651B58BC" w14:textId="77777777" w:rsidR="00D55C1E" w:rsidRDefault="00EB0A4E">
            <w:pPr>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b/>
                <w:sz w:val="22"/>
                <w:szCs w:val="22"/>
              </w:rPr>
              <w:t xml:space="preserve">Department of Human Development and Quantitative Methodology (HDQM) </w:t>
            </w:r>
          </w:p>
          <w:p w14:paraId="65282014" w14:textId="77777777" w:rsidR="00D55C1E" w:rsidRDefault="00D55C1E">
            <w:pPr>
              <w:rPr>
                <w:rFonts w:ascii="Arial" w:eastAsia="Arial" w:hAnsi="Arial" w:cs="Arial"/>
                <w:sz w:val="22"/>
                <w:szCs w:val="22"/>
              </w:rPr>
            </w:pPr>
          </w:p>
          <w:p w14:paraId="4F637BCD" w14:textId="77777777" w:rsidR="00D55C1E" w:rsidRDefault="00EB0A4E">
            <w:pPr>
              <w:rPr>
                <w:rFonts w:ascii="Arial" w:eastAsia="Arial" w:hAnsi="Arial" w:cs="Arial"/>
                <w:sz w:val="22"/>
                <w:szCs w:val="22"/>
              </w:rPr>
            </w:pPr>
            <w:r>
              <w:rPr>
                <w:rFonts w:ascii="Arial" w:eastAsia="Arial" w:hAnsi="Arial" w:cs="Arial"/>
                <w:sz w:val="22"/>
                <w:szCs w:val="22"/>
              </w:rPr>
              <w:t xml:space="preserve">This Department is one of the world’s leading centers for research on child development, educational psychology, and cutting-edge psychometric and statistical methods. Its mission is to advance knowledge and practice in these areas of study through innovative teaching and research. The Department’s graduate programs prepare students for careers in academic and non-academic environments, including research and industry settings. HDQM also offers unique undergraduate programs, including a dual-certification major in Early Childhood Education and Early Childhood Special Education and a new major in human development. Program offerings include courses on how children learn prosocial behavior and moral development, socio-cultural contexts of development, educational neuroscience, and sophisticated approaches to data analysis. </w:t>
            </w:r>
          </w:p>
          <w:p w14:paraId="36914DD3" w14:textId="77777777" w:rsidR="00D55C1E" w:rsidRDefault="00D55C1E">
            <w:pPr>
              <w:rPr>
                <w:rFonts w:ascii="Arial" w:eastAsia="Arial" w:hAnsi="Arial" w:cs="Arial"/>
                <w:sz w:val="22"/>
                <w:szCs w:val="22"/>
              </w:rPr>
            </w:pPr>
          </w:p>
          <w:p w14:paraId="7F637622" w14:textId="77777777" w:rsidR="00D55C1E" w:rsidRDefault="00EB0A4E">
            <w:pPr>
              <w:rPr>
                <w:rFonts w:ascii="Arial" w:eastAsia="Arial" w:hAnsi="Arial" w:cs="Arial"/>
                <w:sz w:val="22"/>
                <w:szCs w:val="22"/>
              </w:rPr>
            </w:pPr>
            <w:r>
              <w:rPr>
                <w:rFonts w:ascii="Arial" w:eastAsia="Arial" w:hAnsi="Arial" w:cs="Arial"/>
                <w:sz w:val="22"/>
                <w:szCs w:val="22"/>
              </w:rPr>
              <w:t xml:space="preserve">• </w:t>
            </w:r>
            <w:r>
              <w:rPr>
                <w:rFonts w:ascii="Arial" w:eastAsia="Arial" w:hAnsi="Arial" w:cs="Arial"/>
                <w:b/>
                <w:sz w:val="22"/>
                <w:szCs w:val="22"/>
              </w:rPr>
              <w:t xml:space="preserve">Department of Teaching and Learning, Policy and Leadership (TLPL) </w:t>
            </w:r>
          </w:p>
          <w:p w14:paraId="25B7F86E" w14:textId="77777777" w:rsidR="00D55C1E" w:rsidRDefault="00D55C1E">
            <w:pPr>
              <w:rPr>
                <w:rFonts w:ascii="Arial" w:eastAsia="Arial" w:hAnsi="Arial" w:cs="Arial"/>
                <w:sz w:val="22"/>
                <w:szCs w:val="22"/>
              </w:rPr>
            </w:pPr>
          </w:p>
          <w:p w14:paraId="1DC25407" w14:textId="77777777" w:rsidR="00D55C1E" w:rsidRDefault="00EB0A4E">
            <w:pPr>
              <w:rPr>
                <w:rFonts w:ascii="Arial" w:eastAsia="Arial" w:hAnsi="Arial" w:cs="Arial"/>
                <w:sz w:val="22"/>
                <w:szCs w:val="22"/>
              </w:rPr>
            </w:pPr>
            <w:r>
              <w:rPr>
                <w:rFonts w:ascii="Arial" w:eastAsia="Arial" w:hAnsi="Arial" w:cs="Arial"/>
                <w:sz w:val="22"/>
                <w:szCs w:val="22"/>
              </w:rPr>
              <w:t>Most of the College’s teacher preparation programs (including elementary, middle, and secondary education) reside in TLPL. Additional departmental programs encourage thoughtful and responsive explorations of education policies, practices, and social issues. Graduate students receive preparation to create and analyze alternative courses of action to enhance the quality of education for all persons and to redress the social conditions that restrict collective democratic aspirations. The Department offers undergraduate study leading to the Bachelor of Arts (B.A.) or Bachelor of Science (B.S.), and graduate study leading to the Master of Arts (M.A.) (thesis and non-thesis options), Master of Education (M.Ed.), and Doctor of Philosophy (Ph.D.).</w:t>
            </w:r>
          </w:p>
          <w:p w14:paraId="431E4FA2" w14:textId="77777777" w:rsidR="00D55C1E" w:rsidRDefault="00D55C1E">
            <w:pPr>
              <w:rPr>
                <w:rFonts w:ascii="Arial" w:eastAsia="Arial" w:hAnsi="Arial" w:cs="Arial"/>
                <w:sz w:val="22"/>
                <w:szCs w:val="22"/>
              </w:rPr>
            </w:pPr>
          </w:p>
        </w:tc>
      </w:tr>
    </w:tbl>
    <w:p w14:paraId="7E2CC2D9" w14:textId="77777777" w:rsidR="00D55C1E" w:rsidRDefault="00D55C1E"/>
    <w:p w14:paraId="163C0721" w14:textId="77777777" w:rsidR="00D55C1E" w:rsidRDefault="00EB0A4E">
      <w:pPr>
        <w:keepNext/>
        <w:spacing w:after="120"/>
        <w:rPr>
          <w:b/>
        </w:rPr>
      </w:pPr>
      <w:r>
        <w:rPr>
          <w:b/>
        </w:rPr>
        <w:t>Public Posting URL</w:t>
      </w:r>
    </w:p>
    <w:p w14:paraId="17EA400D" w14:textId="77777777" w:rsidR="00D55C1E" w:rsidRDefault="00EB0A4E">
      <w:pPr>
        <w:keepNext/>
        <w:spacing w:after="200"/>
      </w:pPr>
      <w:r>
        <w:t xml:space="preserve">Part I of this report is posted at the following web address (accredited members filing this report must post at least Part I): </w:t>
      </w:r>
    </w:p>
    <w:tbl>
      <w:tblPr>
        <w:tblStyle w:val="a1"/>
        <w:tblW w:w="12961"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2961"/>
      </w:tblGrid>
      <w:tr w:rsidR="00D55C1E" w14:paraId="177B7E91" w14:textId="77777777">
        <w:trPr>
          <w:trHeight w:val="169"/>
        </w:trPr>
        <w:tc>
          <w:tcPr>
            <w:tcW w:w="12961" w:type="dxa"/>
            <w:shd w:val="clear" w:color="auto" w:fill="D0E0E3"/>
            <w:tcMar>
              <w:top w:w="100" w:type="dxa"/>
              <w:left w:w="100" w:type="dxa"/>
              <w:bottom w:w="100" w:type="dxa"/>
              <w:right w:w="100" w:type="dxa"/>
            </w:tcMar>
          </w:tcPr>
          <w:p w14:paraId="10A7FC01" w14:textId="77777777" w:rsidR="00D55C1E" w:rsidRDefault="00EB0A4E">
            <w:pPr>
              <w:rPr>
                <w:rFonts w:ascii="Arial" w:eastAsia="Arial" w:hAnsi="Arial" w:cs="Arial"/>
                <w:sz w:val="22"/>
                <w:szCs w:val="22"/>
              </w:rPr>
            </w:pPr>
            <w:r>
              <w:rPr>
                <w:rFonts w:ascii="Arial" w:eastAsia="Arial" w:hAnsi="Arial" w:cs="Arial"/>
                <w:sz w:val="22"/>
                <w:szCs w:val="22"/>
              </w:rPr>
              <w:t>https://education.umd.edu/academics/accreditation</w:t>
            </w:r>
          </w:p>
        </w:tc>
      </w:tr>
    </w:tbl>
    <w:p w14:paraId="77B35019" w14:textId="77777777" w:rsidR="00D55C1E" w:rsidRDefault="00D55C1E"/>
    <w:p w14:paraId="3514BD9A" w14:textId="77777777" w:rsidR="00D55C1E" w:rsidRDefault="00EB0A4E">
      <w:pPr>
        <w:keepNext/>
        <w:numPr>
          <w:ilvl w:val="0"/>
          <w:numId w:val="6"/>
        </w:numPr>
        <w:spacing w:after="120"/>
        <w:ind w:left="360"/>
        <w:rPr>
          <w:b/>
        </w:rPr>
      </w:pPr>
      <w:r>
        <w:rPr>
          <w:b/>
          <w:sz w:val="28"/>
          <w:szCs w:val="28"/>
        </w:rPr>
        <w:lastRenderedPageBreak/>
        <w:t>Enrollment and Completion Data</w:t>
      </w:r>
    </w:p>
    <w:p w14:paraId="77BA93C9" w14:textId="77777777" w:rsidR="00D55C1E" w:rsidRDefault="00EB0A4E">
      <w:pPr>
        <w:keepNext/>
        <w:spacing w:after="200"/>
      </w:pPr>
      <w:r>
        <w:t>Table 1 shows current enrollment and recent completion data for each program included in the AAQEP review.</w:t>
      </w:r>
    </w:p>
    <w:p w14:paraId="4BC473DD" w14:textId="77777777" w:rsidR="00D55C1E" w:rsidRDefault="00EB0A4E">
      <w:pPr>
        <w:keepNext/>
        <w:spacing w:after="120"/>
        <w:rPr>
          <w:color w:val="134F5C"/>
          <w:sz w:val="24"/>
          <w:szCs w:val="24"/>
        </w:rPr>
      </w:pPr>
      <w:r>
        <w:rPr>
          <w:b/>
        </w:rPr>
        <w:t>Table 1. Program Specification: Enrollment and Completers for Academic Year 2022-2023</w:t>
      </w:r>
    </w:p>
    <w:tbl>
      <w:tblPr>
        <w:tblStyle w:val="a2"/>
        <w:tblW w:w="12780" w:type="dxa"/>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90"/>
        <w:gridCol w:w="4095"/>
        <w:gridCol w:w="2280"/>
        <w:gridCol w:w="2115"/>
      </w:tblGrid>
      <w:tr w:rsidR="00D55C1E" w14:paraId="3EBE0BB2" w14:textId="77777777">
        <w:trPr>
          <w:trHeight w:val="1494"/>
        </w:trPr>
        <w:tc>
          <w:tcPr>
            <w:tcW w:w="42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9DCA10" w14:textId="77777777" w:rsidR="00D55C1E" w:rsidRDefault="00EB0A4E">
            <w:pPr>
              <w:spacing w:after="160"/>
              <w:rPr>
                <w:rFonts w:ascii="Arial" w:eastAsia="Arial" w:hAnsi="Arial" w:cs="Arial"/>
              </w:rPr>
            </w:pPr>
            <w:r>
              <w:rPr>
                <w:rFonts w:ascii="Arial" w:eastAsia="Arial" w:hAnsi="Arial" w:cs="Arial"/>
                <w:b/>
              </w:rPr>
              <w:t>Degree or Certificate</w:t>
            </w:r>
            <w:r>
              <w:rPr>
                <w:rFonts w:ascii="Arial" w:eastAsia="Arial" w:hAnsi="Arial" w:cs="Arial"/>
              </w:rPr>
              <w:t xml:space="preserve"> granted by the institution or organization</w:t>
            </w:r>
          </w:p>
        </w:tc>
        <w:tc>
          <w:tcPr>
            <w:tcW w:w="409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5DAD6B" w14:textId="77777777" w:rsidR="00D55C1E" w:rsidRDefault="00EB0A4E">
            <w:pPr>
              <w:spacing w:after="160"/>
              <w:rPr>
                <w:rFonts w:ascii="Arial" w:eastAsia="Arial" w:hAnsi="Arial" w:cs="Arial"/>
              </w:rPr>
            </w:pPr>
            <w:r>
              <w:rPr>
                <w:rFonts w:ascii="Arial" w:eastAsia="Arial" w:hAnsi="Arial" w:cs="Arial"/>
                <w:b/>
              </w:rPr>
              <w:t>State Certificate, License, Endorsement, or Other Credential</w:t>
            </w:r>
            <w:r>
              <w:rPr>
                <w:rFonts w:ascii="Arial" w:eastAsia="Arial" w:hAnsi="Arial" w:cs="Arial"/>
              </w:rPr>
              <w:t xml:space="preserve"> </w:t>
            </w:r>
          </w:p>
        </w:tc>
        <w:tc>
          <w:tcPr>
            <w:tcW w:w="22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D2A108" w14:textId="77777777" w:rsidR="00D55C1E" w:rsidRDefault="00EB0A4E">
            <w:pPr>
              <w:rPr>
                <w:rFonts w:ascii="Arial" w:eastAsia="Arial" w:hAnsi="Arial" w:cs="Arial"/>
              </w:rPr>
            </w:pPr>
            <w:r>
              <w:rPr>
                <w:rFonts w:ascii="Arial" w:eastAsia="Arial" w:hAnsi="Arial" w:cs="Arial"/>
                <w:b/>
                <w:sz w:val="20"/>
                <w:szCs w:val="20"/>
              </w:rPr>
              <w:t>Number of Candidates</w:t>
            </w:r>
            <w:r>
              <w:rPr>
                <w:rFonts w:ascii="Arial" w:eastAsia="Arial" w:hAnsi="Arial" w:cs="Arial"/>
                <w:sz w:val="20"/>
                <w:szCs w:val="20"/>
              </w:rPr>
              <w:br/>
              <w:t>enrolled in most recently completed academic year (12 months ending)</w:t>
            </w:r>
          </w:p>
        </w:tc>
        <w:tc>
          <w:tcPr>
            <w:tcW w:w="21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78B4D4" w14:textId="77777777" w:rsidR="00D55C1E" w:rsidRDefault="00EB0A4E">
            <w:pPr>
              <w:rPr>
                <w:rFonts w:ascii="Arial" w:eastAsia="Arial" w:hAnsi="Arial" w:cs="Arial"/>
              </w:rPr>
            </w:pPr>
            <w:r>
              <w:rPr>
                <w:rFonts w:ascii="Arial" w:eastAsia="Arial" w:hAnsi="Arial" w:cs="Arial"/>
                <w:b/>
                <w:sz w:val="20"/>
                <w:szCs w:val="20"/>
              </w:rPr>
              <w:t>Number of Completers</w:t>
            </w:r>
            <w:r>
              <w:rPr>
                <w:rFonts w:ascii="Arial" w:eastAsia="Arial" w:hAnsi="Arial" w:cs="Arial"/>
                <w:sz w:val="20"/>
                <w:szCs w:val="20"/>
              </w:rPr>
              <w:br/>
              <w:t>in most recently completed academic year (12 months ending)</w:t>
            </w:r>
          </w:p>
        </w:tc>
      </w:tr>
      <w:tr w:rsidR="00D55C1E" w14:paraId="1DFD28CB" w14:textId="77777777">
        <w:trPr>
          <w:trHeight w:val="30"/>
        </w:trPr>
        <w:tc>
          <w:tcPr>
            <w:tcW w:w="12780"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D38E0C" w14:textId="77777777" w:rsidR="00D55C1E" w:rsidRDefault="00EB0A4E">
            <w:pPr>
              <w:jc w:val="center"/>
              <w:rPr>
                <w:rFonts w:ascii="Arial" w:eastAsia="Arial" w:hAnsi="Arial" w:cs="Arial"/>
                <w:sz w:val="20"/>
                <w:szCs w:val="20"/>
              </w:rPr>
            </w:pPr>
            <w:r>
              <w:rPr>
                <w:rFonts w:ascii="Arial" w:eastAsia="Arial" w:hAnsi="Arial" w:cs="Arial"/>
                <w:b/>
                <w:i/>
                <w:sz w:val="20"/>
                <w:szCs w:val="20"/>
              </w:rPr>
              <w:t>Programs that lead to initial teaching credentials</w:t>
            </w:r>
          </w:p>
        </w:tc>
      </w:tr>
      <w:tr w:rsidR="00D55C1E" w14:paraId="37367374" w14:textId="77777777">
        <w:trPr>
          <w:trHeight w:val="180"/>
        </w:trPr>
        <w:tc>
          <w:tcPr>
            <w:tcW w:w="4290"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1412C3B3" w14:textId="77777777" w:rsidR="00D55C1E" w:rsidRDefault="00EB0A4E">
            <w:pPr>
              <w:rPr>
                <w:rFonts w:ascii="Arial" w:eastAsia="Arial" w:hAnsi="Arial" w:cs="Arial"/>
                <w:sz w:val="22"/>
                <w:szCs w:val="22"/>
              </w:rPr>
            </w:pPr>
            <w:r>
              <w:rPr>
                <w:rFonts w:ascii="Arial" w:eastAsia="Arial" w:hAnsi="Arial" w:cs="Arial"/>
                <w:sz w:val="22"/>
                <w:szCs w:val="22"/>
              </w:rPr>
              <w:t>B.S. - Early Childhood / Early Childhood Special Education (undergraduate)</w:t>
            </w:r>
          </w:p>
        </w:tc>
        <w:tc>
          <w:tcPr>
            <w:tcW w:w="4095"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2EEA563D" w14:textId="77777777" w:rsidR="00D55C1E" w:rsidRDefault="00EB0A4E">
            <w:pPr>
              <w:rPr>
                <w:rFonts w:ascii="Arial" w:eastAsia="Arial" w:hAnsi="Arial" w:cs="Arial"/>
                <w:sz w:val="22"/>
                <w:szCs w:val="22"/>
              </w:rPr>
            </w:pPr>
            <w:r>
              <w:rPr>
                <w:rFonts w:ascii="Arial" w:eastAsia="Arial" w:hAnsi="Arial" w:cs="Arial"/>
                <w:sz w:val="22"/>
                <w:szCs w:val="22"/>
              </w:rPr>
              <w:t>MSDE Early Childhood Education Certificate (P-3); Infant/Primary Special Education Certificate (B-3)</w:t>
            </w:r>
          </w:p>
        </w:tc>
        <w:tc>
          <w:tcPr>
            <w:tcW w:w="2280"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6EFB1C14" w14:textId="77777777" w:rsidR="00D55C1E" w:rsidRDefault="00EB0A4E">
            <w:pPr>
              <w:jc w:val="center"/>
              <w:rPr>
                <w:rFonts w:ascii="Arial" w:eastAsia="Arial" w:hAnsi="Arial" w:cs="Arial"/>
                <w:sz w:val="20"/>
                <w:szCs w:val="20"/>
              </w:rPr>
            </w:pPr>
            <w:r>
              <w:rPr>
                <w:rFonts w:ascii="Arial" w:eastAsia="Arial" w:hAnsi="Arial" w:cs="Arial"/>
                <w:sz w:val="20"/>
                <w:szCs w:val="20"/>
              </w:rPr>
              <w:t>95</w:t>
            </w:r>
          </w:p>
        </w:tc>
        <w:tc>
          <w:tcPr>
            <w:tcW w:w="2115"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327114C4" w14:textId="77777777" w:rsidR="00D55C1E" w:rsidRDefault="00EB0A4E">
            <w:pPr>
              <w:jc w:val="center"/>
              <w:rPr>
                <w:rFonts w:ascii="Arial" w:eastAsia="Arial" w:hAnsi="Arial" w:cs="Arial"/>
                <w:sz w:val="20"/>
                <w:szCs w:val="20"/>
              </w:rPr>
            </w:pPr>
            <w:r>
              <w:rPr>
                <w:rFonts w:ascii="Arial" w:eastAsia="Arial" w:hAnsi="Arial" w:cs="Arial"/>
                <w:sz w:val="20"/>
                <w:szCs w:val="20"/>
              </w:rPr>
              <w:t>28</w:t>
            </w:r>
          </w:p>
        </w:tc>
      </w:tr>
      <w:tr w:rsidR="00D55C1E" w14:paraId="13FA582B" w14:textId="77777777">
        <w:trPr>
          <w:trHeight w:val="180"/>
        </w:trPr>
        <w:tc>
          <w:tcPr>
            <w:tcW w:w="4290"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3EF7F139" w14:textId="77777777" w:rsidR="00D55C1E" w:rsidRDefault="00EB0A4E">
            <w:pPr>
              <w:rPr>
                <w:rFonts w:ascii="Arial" w:eastAsia="Arial" w:hAnsi="Arial" w:cs="Arial"/>
                <w:sz w:val="22"/>
                <w:szCs w:val="22"/>
              </w:rPr>
            </w:pPr>
            <w:r>
              <w:rPr>
                <w:rFonts w:ascii="Arial" w:eastAsia="Arial" w:hAnsi="Arial" w:cs="Arial"/>
                <w:sz w:val="22"/>
                <w:szCs w:val="22"/>
              </w:rPr>
              <w:t>B.S. and M.Ed. - Elementary (undergraduate and graduate)</w:t>
            </w:r>
          </w:p>
        </w:tc>
        <w:tc>
          <w:tcPr>
            <w:tcW w:w="4095"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48EDE781" w14:textId="77777777" w:rsidR="00D55C1E" w:rsidRDefault="00EB0A4E">
            <w:pPr>
              <w:rPr>
                <w:rFonts w:ascii="Arial" w:eastAsia="Arial" w:hAnsi="Arial" w:cs="Arial"/>
                <w:sz w:val="22"/>
                <w:szCs w:val="22"/>
              </w:rPr>
            </w:pPr>
            <w:r>
              <w:rPr>
                <w:rFonts w:ascii="Arial" w:eastAsia="Arial" w:hAnsi="Arial" w:cs="Arial"/>
                <w:sz w:val="22"/>
                <w:szCs w:val="22"/>
              </w:rPr>
              <w:t>MSDE Elementary Education Certificate (1-6)</w:t>
            </w:r>
          </w:p>
        </w:tc>
        <w:tc>
          <w:tcPr>
            <w:tcW w:w="2280"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69D72ADC" w14:textId="77777777" w:rsidR="00D55C1E" w:rsidRDefault="00EB0A4E">
            <w:pPr>
              <w:jc w:val="center"/>
              <w:rPr>
                <w:sz w:val="20"/>
                <w:szCs w:val="20"/>
              </w:rPr>
            </w:pPr>
            <w:r>
              <w:rPr>
                <w:sz w:val="20"/>
                <w:szCs w:val="20"/>
              </w:rPr>
              <w:t>190</w:t>
            </w:r>
          </w:p>
        </w:tc>
        <w:tc>
          <w:tcPr>
            <w:tcW w:w="2115"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7E942271" w14:textId="77777777" w:rsidR="00D55C1E" w:rsidRDefault="00EB0A4E">
            <w:pPr>
              <w:jc w:val="center"/>
              <w:rPr>
                <w:rFonts w:ascii="Arial" w:eastAsia="Arial" w:hAnsi="Arial" w:cs="Arial"/>
                <w:sz w:val="20"/>
                <w:szCs w:val="20"/>
              </w:rPr>
            </w:pPr>
            <w:r>
              <w:rPr>
                <w:rFonts w:ascii="Arial" w:eastAsia="Arial" w:hAnsi="Arial" w:cs="Arial"/>
                <w:sz w:val="20"/>
                <w:szCs w:val="20"/>
              </w:rPr>
              <w:t>64</w:t>
            </w:r>
          </w:p>
        </w:tc>
      </w:tr>
      <w:tr w:rsidR="00D55C1E" w14:paraId="200EFAA4" w14:textId="77777777">
        <w:trPr>
          <w:trHeight w:val="180"/>
        </w:trPr>
        <w:tc>
          <w:tcPr>
            <w:tcW w:w="4290"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06151A8E" w14:textId="77777777" w:rsidR="00D55C1E" w:rsidRDefault="00EB0A4E">
            <w:pPr>
              <w:rPr>
                <w:rFonts w:ascii="Arial" w:eastAsia="Arial" w:hAnsi="Arial" w:cs="Arial"/>
                <w:sz w:val="22"/>
                <w:szCs w:val="22"/>
              </w:rPr>
            </w:pPr>
            <w:r>
              <w:rPr>
                <w:rFonts w:ascii="Arial" w:eastAsia="Arial" w:hAnsi="Arial" w:cs="Arial"/>
                <w:sz w:val="22"/>
                <w:szCs w:val="22"/>
              </w:rPr>
              <w:t>B.S. and M.Ed. - Middle School Math and Science (undergraduate and graduate)</w:t>
            </w:r>
          </w:p>
        </w:tc>
        <w:tc>
          <w:tcPr>
            <w:tcW w:w="4095"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72A85E26" w14:textId="77777777" w:rsidR="00D55C1E" w:rsidRDefault="00EB0A4E">
            <w:pPr>
              <w:rPr>
                <w:rFonts w:ascii="Arial" w:eastAsia="Arial" w:hAnsi="Arial" w:cs="Arial"/>
                <w:sz w:val="22"/>
                <w:szCs w:val="22"/>
              </w:rPr>
            </w:pPr>
            <w:r>
              <w:rPr>
                <w:rFonts w:ascii="Arial" w:eastAsia="Arial" w:hAnsi="Arial" w:cs="Arial"/>
                <w:sz w:val="22"/>
                <w:szCs w:val="22"/>
              </w:rPr>
              <w:t>MSDE Middle School: Math Certificate (4-9)</w:t>
            </w:r>
          </w:p>
          <w:p w14:paraId="4030CA38" w14:textId="77777777" w:rsidR="00D55C1E" w:rsidRDefault="00EB0A4E">
            <w:pPr>
              <w:rPr>
                <w:rFonts w:ascii="Arial" w:eastAsia="Arial" w:hAnsi="Arial" w:cs="Arial"/>
                <w:sz w:val="22"/>
                <w:szCs w:val="22"/>
              </w:rPr>
            </w:pPr>
            <w:r>
              <w:rPr>
                <w:rFonts w:ascii="Arial" w:eastAsia="Arial" w:hAnsi="Arial" w:cs="Arial"/>
                <w:sz w:val="22"/>
                <w:szCs w:val="22"/>
              </w:rPr>
              <w:t>MSDE Middle School: Science Certificate (4-9)</w:t>
            </w:r>
          </w:p>
          <w:p w14:paraId="2ACAAE45" w14:textId="77777777" w:rsidR="00D55C1E" w:rsidRDefault="00EB0A4E">
            <w:pPr>
              <w:rPr>
                <w:rFonts w:ascii="Arial" w:eastAsia="Arial" w:hAnsi="Arial" w:cs="Arial"/>
                <w:sz w:val="22"/>
                <w:szCs w:val="22"/>
              </w:rPr>
            </w:pPr>
            <w:r>
              <w:rPr>
                <w:rFonts w:ascii="Arial" w:eastAsia="Arial" w:hAnsi="Arial" w:cs="Arial"/>
                <w:sz w:val="22"/>
                <w:szCs w:val="22"/>
              </w:rPr>
              <w:t>MSDE Middle School: Math and Certificate (4-9)</w:t>
            </w:r>
          </w:p>
        </w:tc>
        <w:tc>
          <w:tcPr>
            <w:tcW w:w="2280"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3C8C646F" w14:textId="77777777" w:rsidR="00D55C1E" w:rsidRDefault="00EB0A4E">
            <w:pPr>
              <w:jc w:val="center"/>
              <w:rPr>
                <w:sz w:val="20"/>
                <w:szCs w:val="20"/>
              </w:rPr>
            </w:pPr>
            <w:r>
              <w:rPr>
                <w:sz w:val="20"/>
                <w:szCs w:val="20"/>
              </w:rPr>
              <w:t>30</w:t>
            </w:r>
          </w:p>
        </w:tc>
        <w:tc>
          <w:tcPr>
            <w:tcW w:w="2115"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70F5C838" w14:textId="77777777" w:rsidR="00D55C1E" w:rsidRDefault="00EB0A4E">
            <w:pPr>
              <w:jc w:val="center"/>
              <w:rPr>
                <w:rFonts w:ascii="Arial" w:eastAsia="Arial" w:hAnsi="Arial" w:cs="Arial"/>
                <w:sz w:val="20"/>
                <w:szCs w:val="20"/>
              </w:rPr>
            </w:pPr>
            <w:r>
              <w:rPr>
                <w:rFonts w:ascii="Arial" w:eastAsia="Arial" w:hAnsi="Arial" w:cs="Arial"/>
                <w:sz w:val="20"/>
                <w:szCs w:val="20"/>
              </w:rPr>
              <w:t>13</w:t>
            </w:r>
          </w:p>
        </w:tc>
      </w:tr>
      <w:tr w:rsidR="00D55C1E" w14:paraId="1430EBFA" w14:textId="77777777">
        <w:trPr>
          <w:trHeight w:val="180"/>
        </w:trPr>
        <w:tc>
          <w:tcPr>
            <w:tcW w:w="4290"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79B22770" w14:textId="77777777" w:rsidR="00D55C1E" w:rsidRDefault="00EB0A4E">
            <w:pPr>
              <w:rPr>
                <w:rFonts w:ascii="Arial" w:eastAsia="Arial" w:hAnsi="Arial" w:cs="Arial"/>
                <w:sz w:val="22"/>
                <w:szCs w:val="22"/>
              </w:rPr>
            </w:pPr>
            <w:r>
              <w:rPr>
                <w:rFonts w:ascii="Arial" w:eastAsia="Arial" w:hAnsi="Arial" w:cs="Arial"/>
                <w:sz w:val="22"/>
                <w:szCs w:val="22"/>
              </w:rPr>
              <w:t>B.A. or B.S. and M.Ed. - Secondary Education (undergraduate and graduate) - in Computer Science, Math, English, Sciences, and Social Studies</w:t>
            </w:r>
          </w:p>
        </w:tc>
        <w:tc>
          <w:tcPr>
            <w:tcW w:w="4095"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429FE6ED" w14:textId="77777777" w:rsidR="00D55C1E" w:rsidRDefault="00EB0A4E">
            <w:pPr>
              <w:rPr>
                <w:rFonts w:ascii="Arial" w:eastAsia="Arial" w:hAnsi="Arial" w:cs="Arial"/>
                <w:sz w:val="22"/>
                <w:szCs w:val="22"/>
              </w:rPr>
            </w:pPr>
            <w:r>
              <w:rPr>
                <w:rFonts w:ascii="Arial" w:eastAsia="Arial" w:hAnsi="Arial" w:cs="Arial"/>
                <w:sz w:val="22"/>
                <w:szCs w:val="22"/>
              </w:rPr>
              <w:t>MSDE Secondary Educator Certificate (7-12)</w:t>
            </w:r>
          </w:p>
        </w:tc>
        <w:tc>
          <w:tcPr>
            <w:tcW w:w="2280"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0B6AF9E0" w14:textId="77777777" w:rsidR="00D55C1E" w:rsidRDefault="00EB0A4E">
            <w:pPr>
              <w:jc w:val="center"/>
              <w:rPr>
                <w:sz w:val="20"/>
                <w:szCs w:val="20"/>
              </w:rPr>
            </w:pPr>
            <w:r>
              <w:rPr>
                <w:sz w:val="20"/>
                <w:szCs w:val="20"/>
              </w:rPr>
              <w:t>159</w:t>
            </w:r>
          </w:p>
        </w:tc>
        <w:tc>
          <w:tcPr>
            <w:tcW w:w="2115"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2200CFCF" w14:textId="77777777" w:rsidR="00D55C1E" w:rsidRDefault="00EB0A4E">
            <w:pPr>
              <w:jc w:val="center"/>
              <w:rPr>
                <w:rFonts w:ascii="Arial" w:eastAsia="Arial" w:hAnsi="Arial" w:cs="Arial"/>
                <w:sz w:val="20"/>
                <w:szCs w:val="20"/>
              </w:rPr>
            </w:pPr>
            <w:r>
              <w:rPr>
                <w:rFonts w:ascii="Arial" w:eastAsia="Arial" w:hAnsi="Arial" w:cs="Arial"/>
                <w:sz w:val="20"/>
                <w:szCs w:val="20"/>
              </w:rPr>
              <w:t>39</w:t>
            </w:r>
          </w:p>
        </w:tc>
      </w:tr>
      <w:tr w:rsidR="00D55C1E" w14:paraId="39E83BCB" w14:textId="77777777">
        <w:trPr>
          <w:trHeight w:val="180"/>
        </w:trPr>
        <w:tc>
          <w:tcPr>
            <w:tcW w:w="4290"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33D99D01" w14:textId="77777777" w:rsidR="00D55C1E" w:rsidRDefault="00EB0A4E">
            <w:pPr>
              <w:rPr>
                <w:rFonts w:ascii="Arial" w:eastAsia="Arial" w:hAnsi="Arial" w:cs="Arial"/>
                <w:sz w:val="22"/>
                <w:szCs w:val="22"/>
              </w:rPr>
            </w:pPr>
            <w:r>
              <w:rPr>
                <w:rFonts w:ascii="Arial" w:eastAsia="Arial" w:hAnsi="Arial" w:cs="Arial"/>
                <w:sz w:val="22"/>
                <w:szCs w:val="22"/>
              </w:rPr>
              <w:t>B.A. and M.A. - Art Education (undergraduate and graduate)</w:t>
            </w:r>
          </w:p>
        </w:tc>
        <w:tc>
          <w:tcPr>
            <w:tcW w:w="4095"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3E68F845" w14:textId="77777777" w:rsidR="00D55C1E" w:rsidRDefault="00EB0A4E">
            <w:pPr>
              <w:rPr>
                <w:rFonts w:ascii="Arial" w:eastAsia="Arial" w:hAnsi="Arial" w:cs="Arial"/>
                <w:sz w:val="22"/>
                <w:szCs w:val="22"/>
              </w:rPr>
            </w:pPr>
            <w:r>
              <w:rPr>
                <w:rFonts w:ascii="Arial" w:eastAsia="Arial" w:hAnsi="Arial" w:cs="Arial"/>
                <w:sz w:val="22"/>
                <w:szCs w:val="22"/>
              </w:rPr>
              <w:t>MSDE Art Certificate (P-12)</w:t>
            </w:r>
          </w:p>
        </w:tc>
        <w:tc>
          <w:tcPr>
            <w:tcW w:w="2280"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5C093ECA" w14:textId="77777777" w:rsidR="00D55C1E" w:rsidRDefault="00EB0A4E">
            <w:pPr>
              <w:jc w:val="center"/>
              <w:rPr>
                <w:sz w:val="20"/>
                <w:szCs w:val="20"/>
              </w:rPr>
            </w:pPr>
            <w:r>
              <w:rPr>
                <w:sz w:val="20"/>
                <w:szCs w:val="20"/>
              </w:rPr>
              <w:t>26</w:t>
            </w:r>
          </w:p>
        </w:tc>
        <w:tc>
          <w:tcPr>
            <w:tcW w:w="2115"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69BAAF69" w14:textId="77777777" w:rsidR="00D55C1E" w:rsidRDefault="00EB0A4E">
            <w:pPr>
              <w:jc w:val="center"/>
              <w:rPr>
                <w:rFonts w:ascii="Arial" w:eastAsia="Arial" w:hAnsi="Arial" w:cs="Arial"/>
                <w:sz w:val="20"/>
                <w:szCs w:val="20"/>
              </w:rPr>
            </w:pPr>
            <w:r>
              <w:rPr>
                <w:rFonts w:ascii="Arial" w:eastAsia="Arial" w:hAnsi="Arial" w:cs="Arial"/>
                <w:sz w:val="20"/>
                <w:szCs w:val="20"/>
              </w:rPr>
              <w:t>4</w:t>
            </w:r>
          </w:p>
        </w:tc>
      </w:tr>
      <w:tr w:rsidR="00D55C1E" w14:paraId="4AEE8FD1" w14:textId="77777777">
        <w:trPr>
          <w:trHeight w:val="180"/>
        </w:trPr>
        <w:tc>
          <w:tcPr>
            <w:tcW w:w="4290"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1D4A9CC3" w14:textId="77777777" w:rsidR="00D55C1E" w:rsidRDefault="00EB0A4E">
            <w:pPr>
              <w:rPr>
                <w:rFonts w:ascii="Arial" w:eastAsia="Arial" w:hAnsi="Arial" w:cs="Arial"/>
                <w:sz w:val="22"/>
                <w:szCs w:val="22"/>
              </w:rPr>
            </w:pPr>
            <w:r>
              <w:rPr>
                <w:rFonts w:ascii="Arial" w:eastAsia="Arial" w:hAnsi="Arial" w:cs="Arial"/>
                <w:sz w:val="22"/>
                <w:szCs w:val="22"/>
              </w:rPr>
              <w:t>B.M.E. - Music Education (undergraduate)</w:t>
            </w:r>
          </w:p>
        </w:tc>
        <w:tc>
          <w:tcPr>
            <w:tcW w:w="4095"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526C994A" w14:textId="77777777" w:rsidR="00D55C1E" w:rsidRDefault="00EB0A4E">
            <w:pPr>
              <w:rPr>
                <w:rFonts w:ascii="Arial" w:eastAsia="Arial" w:hAnsi="Arial" w:cs="Arial"/>
                <w:sz w:val="22"/>
                <w:szCs w:val="22"/>
              </w:rPr>
            </w:pPr>
            <w:r>
              <w:rPr>
                <w:rFonts w:ascii="Arial" w:eastAsia="Arial" w:hAnsi="Arial" w:cs="Arial"/>
                <w:sz w:val="22"/>
                <w:szCs w:val="22"/>
              </w:rPr>
              <w:t>MSDE Music Certificate (P-12)</w:t>
            </w:r>
          </w:p>
        </w:tc>
        <w:tc>
          <w:tcPr>
            <w:tcW w:w="2280"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2B418B6B" w14:textId="77777777" w:rsidR="00D55C1E" w:rsidRDefault="00EB0A4E">
            <w:pPr>
              <w:jc w:val="center"/>
              <w:rPr>
                <w:sz w:val="20"/>
                <w:szCs w:val="20"/>
              </w:rPr>
            </w:pPr>
            <w:r>
              <w:rPr>
                <w:sz w:val="20"/>
                <w:szCs w:val="20"/>
              </w:rPr>
              <w:t>59</w:t>
            </w:r>
          </w:p>
        </w:tc>
        <w:tc>
          <w:tcPr>
            <w:tcW w:w="2115"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0C8E520E" w14:textId="77777777" w:rsidR="00D55C1E" w:rsidRDefault="00EB0A4E">
            <w:pPr>
              <w:jc w:val="center"/>
              <w:rPr>
                <w:rFonts w:ascii="Arial" w:eastAsia="Arial" w:hAnsi="Arial" w:cs="Arial"/>
                <w:sz w:val="20"/>
                <w:szCs w:val="20"/>
              </w:rPr>
            </w:pPr>
            <w:r>
              <w:rPr>
                <w:rFonts w:ascii="Arial" w:eastAsia="Arial" w:hAnsi="Arial" w:cs="Arial"/>
                <w:sz w:val="20"/>
                <w:szCs w:val="20"/>
              </w:rPr>
              <w:t>14</w:t>
            </w:r>
          </w:p>
        </w:tc>
      </w:tr>
      <w:tr w:rsidR="00D55C1E" w14:paraId="64BB92BC" w14:textId="77777777">
        <w:trPr>
          <w:trHeight w:val="180"/>
        </w:trPr>
        <w:tc>
          <w:tcPr>
            <w:tcW w:w="4290"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3D102FA0" w14:textId="77777777" w:rsidR="00D55C1E" w:rsidRDefault="00EB0A4E">
            <w:pPr>
              <w:rPr>
                <w:rFonts w:ascii="Arial" w:eastAsia="Arial" w:hAnsi="Arial" w:cs="Arial"/>
                <w:sz w:val="22"/>
                <w:szCs w:val="22"/>
              </w:rPr>
            </w:pPr>
            <w:r>
              <w:rPr>
                <w:rFonts w:ascii="Arial" w:eastAsia="Arial" w:hAnsi="Arial" w:cs="Arial"/>
                <w:sz w:val="22"/>
                <w:szCs w:val="22"/>
              </w:rPr>
              <w:lastRenderedPageBreak/>
              <w:t>M.Ed. - Physical Education (graduate)</w:t>
            </w:r>
          </w:p>
        </w:tc>
        <w:tc>
          <w:tcPr>
            <w:tcW w:w="4095"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30FFD9C7" w14:textId="77777777" w:rsidR="00D55C1E" w:rsidRDefault="00EB0A4E">
            <w:pPr>
              <w:rPr>
                <w:rFonts w:ascii="Arial" w:eastAsia="Arial" w:hAnsi="Arial" w:cs="Arial"/>
                <w:sz w:val="22"/>
                <w:szCs w:val="22"/>
              </w:rPr>
            </w:pPr>
            <w:r>
              <w:rPr>
                <w:rFonts w:ascii="Arial" w:eastAsia="Arial" w:hAnsi="Arial" w:cs="Arial"/>
                <w:sz w:val="22"/>
                <w:szCs w:val="22"/>
              </w:rPr>
              <w:t>MSDE Physical Education Certificate (P-12)</w:t>
            </w:r>
          </w:p>
        </w:tc>
        <w:tc>
          <w:tcPr>
            <w:tcW w:w="2280"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62527A29" w14:textId="77777777" w:rsidR="00D55C1E" w:rsidRDefault="00EB0A4E">
            <w:pPr>
              <w:jc w:val="center"/>
              <w:rPr>
                <w:rFonts w:ascii="Arial" w:eastAsia="Arial" w:hAnsi="Arial" w:cs="Arial"/>
                <w:sz w:val="20"/>
                <w:szCs w:val="20"/>
              </w:rPr>
            </w:pPr>
            <w:r>
              <w:rPr>
                <w:rFonts w:ascii="Arial" w:eastAsia="Arial" w:hAnsi="Arial" w:cs="Arial"/>
                <w:sz w:val="20"/>
                <w:szCs w:val="20"/>
              </w:rPr>
              <w:t>6</w:t>
            </w:r>
          </w:p>
        </w:tc>
        <w:tc>
          <w:tcPr>
            <w:tcW w:w="2115"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1125730E" w14:textId="77777777" w:rsidR="00D55C1E" w:rsidRDefault="00EB0A4E">
            <w:pPr>
              <w:jc w:val="center"/>
              <w:rPr>
                <w:rFonts w:ascii="Arial" w:eastAsia="Arial" w:hAnsi="Arial" w:cs="Arial"/>
                <w:sz w:val="20"/>
                <w:szCs w:val="20"/>
              </w:rPr>
            </w:pPr>
            <w:r>
              <w:rPr>
                <w:rFonts w:ascii="Arial" w:eastAsia="Arial" w:hAnsi="Arial" w:cs="Arial"/>
                <w:sz w:val="20"/>
                <w:szCs w:val="20"/>
              </w:rPr>
              <w:t>6</w:t>
            </w:r>
          </w:p>
        </w:tc>
      </w:tr>
      <w:tr w:rsidR="00D55C1E" w14:paraId="1EDC7159" w14:textId="77777777">
        <w:trPr>
          <w:trHeight w:val="180"/>
        </w:trPr>
        <w:tc>
          <w:tcPr>
            <w:tcW w:w="4290"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0AF92E69" w14:textId="77777777" w:rsidR="00D55C1E" w:rsidRDefault="00EB0A4E">
            <w:pPr>
              <w:rPr>
                <w:rFonts w:ascii="Arial" w:eastAsia="Arial" w:hAnsi="Arial" w:cs="Arial"/>
                <w:sz w:val="22"/>
                <w:szCs w:val="22"/>
              </w:rPr>
            </w:pPr>
            <w:r>
              <w:rPr>
                <w:rFonts w:ascii="Arial" w:eastAsia="Arial" w:hAnsi="Arial" w:cs="Arial"/>
                <w:sz w:val="22"/>
                <w:szCs w:val="22"/>
              </w:rPr>
              <w:t>M.Ed. - TESOL (graduate)</w:t>
            </w:r>
          </w:p>
        </w:tc>
        <w:tc>
          <w:tcPr>
            <w:tcW w:w="4095"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14762C24" w14:textId="77777777" w:rsidR="00D55C1E" w:rsidRDefault="00EB0A4E">
            <w:pPr>
              <w:rPr>
                <w:rFonts w:ascii="Arial" w:eastAsia="Arial" w:hAnsi="Arial" w:cs="Arial"/>
                <w:sz w:val="22"/>
                <w:szCs w:val="22"/>
              </w:rPr>
            </w:pPr>
            <w:r>
              <w:rPr>
                <w:rFonts w:ascii="Arial" w:eastAsia="Arial" w:hAnsi="Arial" w:cs="Arial"/>
                <w:sz w:val="22"/>
                <w:szCs w:val="22"/>
              </w:rPr>
              <w:t>MSDE English for Speakers of Other Languages Certificate (P-12)</w:t>
            </w:r>
          </w:p>
        </w:tc>
        <w:tc>
          <w:tcPr>
            <w:tcW w:w="2280"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14882B2F" w14:textId="77777777" w:rsidR="00D55C1E" w:rsidRDefault="00EB0A4E">
            <w:pPr>
              <w:jc w:val="center"/>
              <w:rPr>
                <w:rFonts w:ascii="Arial" w:eastAsia="Arial" w:hAnsi="Arial" w:cs="Arial"/>
                <w:sz w:val="20"/>
                <w:szCs w:val="20"/>
              </w:rPr>
            </w:pPr>
            <w:r>
              <w:rPr>
                <w:rFonts w:ascii="Arial" w:eastAsia="Arial" w:hAnsi="Arial" w:cs="Arial"/>
                <w:sz w:val="20"/>
                <w:szCs w:val="20"/>
              </w:rPr>
              <w:t>9</w:t>
            </w:r>
          </w:p>
        </w:tc>
        <w:tc>
          <w:tcPr>
            <w:tcW w:w="2115"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46ED7634" w14:textId="77777777" w:rsidR="00D55C1E" w:rsidRDefault="00EB0A4E">
            <w:pPr>
              <w:jc w:val="center"/>
              <w:rPr>
                <w:rFonts w:ascii="Arial" w:eastAsia="Arial" w:hAnsi="Arial" w:cs="Arial"/>
                <w:sz w:val="20"/>
                <w:szCs w:val="20"/>
              </w:rPr>
            </w:pPr>
            <w:r>
              <w:rPr>
                <w:rFonts w:ascii="Arial" w:eastAsia="Arial" w:hAnsi="Arial" w:cs="Arial"/>
                <w:sz w:val="20"/>
                <w:szCs w:val="20"/>
              </w:rPr>
              <w:t>9</w:t>
            </w:r>
          </w:p>
        </w:tc>
      </w:tr>
      <w:tr w:rsidR="00D55C1E" w14:paraId="18EFADD6" w14:textId="77777777">
        <w:trPr>
          <w:trHeight w:val="180"/>
        </w:trPr>
        <w:tc>
          <w:tcPr>
            <w:tcW w:w="4290"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09F52F9D" w14:textId="77777777" w:rsidR="00D55C1E" w:rsidRDefault="00EB0A4E">
            <w:pPr>
              <w:rPr>
                <w:rFonts w:ascii="Arial" w:eastAsia="Arial" w:hAnsi="Arial" w:cs="Arial"/>
                <w:sz w:val="22"/>
                <w:szCs w:val="22"/>
              </w:rPr>
            </w:pPr>
            <w:r>
              <w:rPr>
                <w:rFonts w:ascii="Arial" w:eastAsia="Arial" w:hAnsi="Arial" w:cs="Arial"/>
                <w:sz w:val="22"/>
                <w:szCs w:val="22"/>
              </w:rPr>
              <w:t>B.A. and M.Ed. - World Languages (undergraduate and graduate)</w:t>
            </w:r>
          </w:p>
        </w:tc>
        <w:tc>
          <w:tcPr>
            <w:tcW w:w="4095"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1E304A11" w14:textId="77777777" w:rsidR="00D55C1E" w:rsidRDefault="00EB0A4E">
            <w:pPr>
              <w:rPr>
                <w:rFonts w:ascii="Arial" w:eastAsia="Arial" w:hAnsi="Arial" w:cs="Arial"/>
                <w:sz w:val="22"/>
                <w:szCs w:val="22"/>
              </w:rPr>
            </w:pPr>
            <w:r>
              <w:rPr>
                <w:rFonts w:ascii="Arial" w:eastAsia="Arial" w:hAnsi="Arial" w:cs="Arial"/>
                <w:sz w:val="22"/>
                <w:szCs w:val="22"/>
              </w:rPr>
              <w:t>MSDE World Languages Certificate (P-12)</w:t>
            </w:r>
          </w:p>
        </w:tc>
        <w:tc>
          <w:tcPr>
            <w:tcW w:w="2280"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3D963236" w14:textId="77777777" w:rsidR="00D55C1E" w:rsidRDefault="00EB0A4E">
            <w:pPr>
              <w:jc w:val="center"/>
              <w:rPr>
                <w:rFonts w:ascii="Arial" w:eastAsia="Arial" w:hAnsi="Arial" w:cs="Arial"/>
                <w:sz w:val="20"/>
                <w:szCs w:val="20"/>
              </w:rPr>
            </w:pPr>
            <w:r>
              <w:rPr>
                <w:rFonts w:ascii="Arial" w:eastAsia="Arial" w:hAnsi="Arial" w:cs="Arial"/>
                <w:sz w:val="20"/>
                <w:szCs w:val="20"/>
              </w:rPr>
              <w:t>22</w:t>
            </w:r>
          </w:p>
        </w:tc>
        <w:tc>
          <w:tcPr>
            <w:tcW w:w="2115"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461118C2" w14:textId="77777777" w:rsidR="00D55C1E" w:rsidRDefault="00EB0A4E">
            <w:pPr>
              <w:jc w:val="center"/>
              <w:rPr>
                <w:rFonts w:ascii="Arial" w:eastAsia="Arial" w:hAnsi="Arial" w:cs="Arial"/>
                <w:sz w:val="20"/>
                <w:szCs w:val="20"/>
              </w:rPr>
            </w:pPr>
            <w:r>
              <w:rPr>
                <w:rFonts w:ascii="Arial" w:eastAsia="Arial" w:hAnsi="Arial" w:cs="Arial"/>
                <w:sz w:val="20"/>
                <w:szCs w:val="20"/>
              </w:rPr>
              <w:t>9</w:t>
            </w:r>
          </w:p>
        </w:tc>
      </w:tr>
      <w:tr w:rsidR="00D55C1E" w14:paraId="1AABC11D" w14:textId="77777777">
        <w:trPr>
          <w:trHeight w:val="180"/>
        </w:trPr>
        <w:tc>
          <w:tcPr>
            <w:tcW w:w="4290"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3DEC98AC" w14:textId="77777777" w:rsidR="00D55C1E" w:rsidRDefault="00EB0A4E">
            <w:pPr>
              <w:rPr>
                <w:rFonts w:ascii="Arial" w:eastAsia="Arial" w:hAnsi="Arial" w:cs="Arial"/>
                <w:sz w:val="22"/>
                <w:szCs w:val="22"/>
              </w:rPr>
            </w:pPr>
            <w:r>
              <w:rPr>
                <w:rFonts w:ascii="Arial" w:eastAsia="Arial" w:hAnsi="Arial" w:cs="Arial"/>
                <w:sz w:val="22"/>
                <w:szCs w:val="22"/>
              </w:rPr>
              <w:t>B.S. and M.Ed. - Special Education (undergraduate and graduate) MSDE Elementary/Middle Special Education Certificate (1-8); Severely and Profoundly Disabled Certificate (P-12) or Special Education Elementary/Middle (Grades 1-8) and Elementary Education (Grades 1-8)</w:t>
            </w:r>
          </w:p>
        </w:tc>
        <w:tc>
          <w:tcPr>
            <w:tcW w:w="4095"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38A9E596" w14:textId="77777777" w:rsidR="00D55C1E" w:rsidRDefault="00EB0A4E">
            <w:pPr>
              <w:rPr>
                <w:rFonts w:ascii="Arial" w:eastAsia="Arial" w:hAnsi="Arial" w:cs="Arial"/>
                <w:sz w:val="22"/>
                <w:szCs w:val="22"/>
              </w:rPr>
            </w:pPr>
            <w:r>
              <w:rPr>
                <w:rFonts w:ascii="Arial" w:eastAsia="Arial" w:hAnsi="Arial" w:cs="Arial"/>
                <w:sz w:val="22"/>
                <w:szCs w:val="22"/>
              </w:rPr>
              <w:t>MSDE Elementary/Middle Special Education Certificate (1-8); Severely and Profoundly Disabled Certificate (P-12) or Special Education Elementary/Middle (Grades 1-8) and Elementary Education (Grades 1-8)</w:t>
            </w:r>
          </w:p>
        </w:tc>
        <w:tc>
          <w:tcPr>
            <w:tcW w:w="2280"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68D982EE" w14:textId="77777777" w:rsidR="00D55C1E" w:rsidRDefault="00EB0A4E">
            <w:pPr>
              <w:jc w:val="center"/>
              <w:rPr>
                <w:rFonts w:ascii="Arial" w:eastAsia="Arial" w:hAnsi="Arial" w:cs="Arial"/>
                <w:sz w:val="20"/>
                <w:szCs w:val="20"/>
              </w:rPr>
            </w:pPr>
            <w:r>
              <w:rPr>
                <w:rFonts w:ascii="Arial" w:eastAsia="Arial" w:hAnsi="Arial" w:cs="Arial"/>
                <w:sz w:val="20"/>
                <w:szCs w:val="20"/>
              </w:rPr>
              <w:t>35</w:t>
            </w:r>
          </w:p>
        </w:tc>
        <w:tc>
          <w:tcPr>
            <w:tcW w:w="2115"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7B80E3B0" w14:textId="77777777" w:rsidR="00D55C1E" w:rsidRDefault="00EB0A4E">
            <w:pPr>
              <w:jc w:val="center"/>
              <w:rPr>
                <w:rFonts w:ascii="Arial" w:eastAsia="Arial" w:hAnsi="Arial" w:cs="Arial"/>
                <w:sz w:val="20"/>
                <w:szCs w:val="20"/>
              </w:rPr>
            </w:pPr>
            <w:r>
              <w:rPr>
                <w:rFonts w:ascii="Arial" w:eastAsia="Arial" w:hAnsi="Arial" w:cs="Arial"/>
                <w:sz w:val="20"/>
                <w:szCs w:val="20"/>
              </w:rPr>
              <w:t>8</w:t>
            </w:r>
          </w:p>
        </w:tc>
      </w:tr>
      <w:tr w:rsidR="00D55C1E" w14:paraId="00189236" w14:textId="77777777">
        <w:trPr>
          <w:trHeight w:val="180"/>
        </w:trPr>
        <w:tc>
          <w:tcPr>
            <w:tcW w:w="4290"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4A1C37D9" w14:textId="77777777" w:rsidR="00D55C1E" w:rsidRDefault="00EB0A4E">
            <w:pPr>
              <w:rPr>
                <w:rFonts w:ascii="Arial" w:eastAsia="Arial" w:hAnsi="Arial" w:cs="Arial"/>
                <w:sz w:val="22"/>
                <w:szCs w:val="22"/>
              </w:rPr>
            </w:pPr>
            <w:r>
              <w:rPr>
                <w:rFonts w:ascii="Arial" w:eastAsia="Arial" w:hAnsi="Arial" w:cs="Arial"/>
                <w:sz w:val="22"/>
                <w:szCs w:val="22"/>
              </w:rPr>
              <w:t xml:space="preserve">M.Ed. – CITE Elementary </w:t>
            </w:r>
          </w:p>
        </w:tc>
        <w:tc>
          <w:tcPr>
            <w:tcW w:w="4095"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37975028" w14:textId="77777777" w:rsidR="00D55C1E" w:rsidRDefault="00EB0A4E">
            <w:pPr>
              <w:rPr>
                <w:rFonts w:ascii="Arial" w:eastAsia="Arial" w:hAnsi="Arial" w:cs="Arial"/>
                <w:sz w:val="22"/>
                <w:szCs w:val="22"/>
              </w:rPr>
            </w:pPr>
            <w:r>
              <w:rPr>
                <w:rFonts w:ascii="Arial" w:eastAsia="Arial" w:hAnsi="Arial" w:cs="Arial"/>
                <w:sz w:val="22"/>
                <w:szCs w:val="22"/>
              </w:rPr>
              <w:t>MSDE Elementary Education Certificate (1-6)</w:t>
            </w:r>
          </w:p>
        </w:tc>
        <w:tc>
          <w:tcPr>
            <w:tcW w:w="2280"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42EADD95" w14:textId="77777777" w:rsidR="00D55C1E" w:rsidRDefault="00EB0A4E">
            <w:pPr>
              <w:jc w:val="center"/>
              <w:rPr>
                <w:rFonts w:ascii="Arial" w:eastAsia="Arial" w:hAnsi="Arial" w:cs="Arial"/>
                <w:sz w:val="20"/>
                <w:szCs w:val="20"/>
              </w:rPr>
            </w:pPr>
            <w:r>
              <w:rPr>
                <w:rFonts w:ascii="Arial" w:eastAsia="Arial" w:hAnsi="Arial" w:cs="Arial"/>
                <w:sz w:val="20"/>
                <w:szCs w:val="20"/>
              </w:rPr>
              <w:t>14</w:t>
            </w:r>
          </w:p>
        </w:tc>
        <w:tc>
          <w:tcPr>
            <w:tcW w:w="2115"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474368CE" w14:textId="77777777" w:rsidR="00D55C1E" w:rsidRDefault="00EB0A4E">
            <w:pPr>
              <w:jc w:val="center"/>
              <w:rPr>
                <w:rFonts w:ascii="Arial" w:eastAsia="Arial" w:hAnsi="Arial" w:cs="Arial"/>
                <w:sz w:val="20"/>
                <w:szCs w:val="20"/>
              </w:rPr>
            </w:pPr>
            <w:r>
              <w:rPr>
                <w:rFonts w:ascii="Arial" w:eastAsia="Arial" w:hAnsi="Arial" w:cs="Arial"/>
                <w:sz w:val="20"/>
                <w:szCs w:val="20"/>
              </w:rPr>
              <w:t>10</w:t>
            </w:r>
          </w:p>
        </w:tc>
      </w:tr>
      <w:tr w:rsidR="00D55C1E" w14:paraId="454AFBBE" w14:textId="77777777">
        <w:trPr>
          <w:trHeight w:val="225"/>
        </w:trPr>
        <w:tc>
          <w:tcPr>
            <w:tcW w:w="8385"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9ADE042" w14:textId="77777777" w:rsidR="00D55C1E" w:rsidRDefault="00EB0A4E">
            <w:pPr>
              <w:jc w:val="right"/>
              <w:rPr>
                <w:rFonts w:ascii="Arial" w:eastAsia="Arial" w:hAnsi="Arial" w:cs="Arial"/>
                <w:i/>
                <w:sz w:val="20"/>
                <w:szCs w:val="20"/>
              </w:rPr>
            </w:pPr>
            <w:r>
              <w:rPr>
                <w:rFonts w:ascii="Arial" w:eastAsia="Arial" w:hAnsi="Arial" w:cs="Arial"/>
                <w:sz w:val="20"/>
                <w:szCs w:val="20"/>
              </w:rPr>
              <w:t>Total for programs that lead to initial credentials</w:t>
            </w:r>
          </w:p>
        </w:tc>
        <w:tc>
          <w:tcPr>
            <w:tcW w:w="2280"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2E811820" w14:textId="77777777" w:rsidR="00D55C1E" w:rsidRDefault="00EB0A4E">
            <w:pPr>
              <w:jc w:val="center"/>
              <w:rPr>
                <w:rFonts w:ascii="Arial" w:eastAsia="Arial" w:hAnsi="Arial" w:cs="Arial"/>
                <w:sz w:val="20"/>
                <w:szCs w:val="20"/>
                <w:shd w:val="clear" w:color="auto" w:fill="D0E0E3"/>
              </w:rPr>
            </w:pPr>
            <w:r>
              <w:rPr>
                <w:rFonts w:ascii="Arial" w:eastAsia="Arial" w:hAnsi="Arial" w:cs="Arial"/>
                <w:sz w:val="20"/>
                <w:szCs w:val="20"/>
                <w:shd w:val="clear" w:color="auto" w:fill="D0E0E3"/>
              </w:rPr>
              <w:t>645</w:t>
            </w:r>
          </w:p>
        </w:tc>
        <w:tc>
          <w:tcPr>
            <w:tcW w:w="2115"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29874411" w14:textId="77777777" w:rsidR="00D55C1E" w:rsidRDefault="00EB0A4E">
            <w:pPr>
              <w:jc w:val="center"/>
              <w:rPr>
                <w:rFonts w:ascii="Arial" w:eastAsia="Arial" w:hAnsi="Arial" w:cs="Arial"/>
                <w:sz w:val="20"/>
                <w:szCs w:val="20"/>
                <w:shd w:val="clear" w:color="auto" w:fill="D0E0E3"/>
              </w:rPr>
            </w:pPr>
            <w:r>
              <w:rPr>
                <w:rFonts w:ascii="Arial" w:eastAsia="Arial" w:hAnsi="Arial" w:cs="Arial"/>
                <w:sz w:val="20"/>
                <w:szCs w:val="20"/>
                <w:shd w:val="clear" w:color="auto" w:fill="D0E0E3"/>
              </w:rPr>
              <w:t>204</w:t>
            </w:r>
          </w:p>
        </w:tc>
      </w:tr>
      <w:tr w:rsidR="00D55C1E" w14:paraId="25DDD230" w14:textId="77777777">
        <w:trPr>
          <w:trHeight w:val="225"/>
        </w:trPr>
        <w:tc>
          <w:tcPr>
            <w:tcW w:w="12780"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A8915F" w14:textId="77777777" w:rsidR="00D55C1E" w:rsidRDefault="00EB0A4E">
            <w:pPr>
              <w:jc w:val="center"/>
              <w:rPr>
                <w:rFonts w:ascii="Arial" w:eastAsia="Arial" w:hAnsi="Arial" w:cs="Arial"/>
                <w:sz w:val="20"/>
                <w:szCs w:val="20"/>
              </w:rPr>
            </w:pPr>
            <w:r>
              <w:rPr>
                <w:rFonts w:ascii="Arial" w:eastAsia="Arial" w:hAnsi="Arial" w:cs="Arial"/>
                <w:b/>
                <w:i/>
                <w:sz w:val="20"/>
                <w:szCs w:val="20"/>
              </w:rPr>
              <w:t xml:space="preserve">Programs that lead to additional or advanced credentials for already-licensed educators </w:t>
            </w:r>
          </w:p>
        </w:tc>
      </w:tr>
      <w:tr w:rsidR="00D55C1E" w14:paraId="6763A6CC" w14:textId="77777777">
        <w:trPr>
          <w:trHeight w:val="139"/>
        </w:trPr>
        <w:tc>
          <w:tcPr>
            <w:tcW w:w="4290"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49D54BC3" w14:textId="77777777" w:rsidR="00D55C1E" w:rsidRDefault="00D55C1E">
            <w:pPr>
              <w:rPr>
                <w:rFonts w:ascii="Arial" w:eastAsia="Arial" w:hAnsi="Arial" w:cs="Arial"/>
                <w:sz w:val="20"/>
                <w:szCs w:val="20"/>
              </w:rPr>
            </w:pPr>
          </w:p>
        </w:tc>
        <w:tc>
          <w:tcPr>
            <w:tcW w:w="4095"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16C846E4" w14:textId="77777777" w:rsidR="00D55C1E" w:rsidRDefault="00D55C1E">
            <w:pPr>
              <w:rPr>
                <w:rFonts w:ascii="Arial" w:eastAsia="Arial" w:hAnsi="Arial" w:cs="Arial"/>
                <w:sz w:val="20"/>
                <w:szCs w:val="20"/>
              </w:rPr>
            </w:pPr>
          </w:p>
        </w:tc>
        <w:tc>
          <w:tcPr>
            <w:tcW w:w="2280"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1C546482" w14:textId="77777777" w:rsidR="00D55C1E" w:rsidRDefault="00D55C1E">
            <w:pPr>
              <w:jc w:val="center"/>
              <w:rPr>
                <w:rFonts w:ascii="Arial" w:eastAsia="Arial" w:hAnsi="Arial" w:cs="Arial"/>
                <w:sz w:val="20"/>
                <w:szCs w:val="20"/>
              </w:rPr>
            </w:pPr>
          </w:p>
        </w:tc>
        <w:tc>
          <w:tcPr>
            <w:tcW w:w="2115"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6CA0943C" w14:textId="77777777" w:rsidR="00D55C1E" w:rsidRDefault="00D55C1E">
            <w:pPr>
              <w:jc w:val="center"/>
              <w:rPr>
                <w:rFonts w:ascii="Arial" w:eastAsia="Arial" w:hAnsi="Arial" w:cs="Arial"/>
                <w:sz w:val="20"/>
                <w:szCs w:val="20"/>
              </w:rPr>
            </w:pPr>
          </w:p>
        </w:tc>
      </w:tr>
      <w:tr w:rsidR="00D55C1E" w14:paraId="05C24DC2" w14:textId="77777777">
        <w:trPr>
          <w:trHeight w:val="135"/>
        </w:trPr>
        <w:tc>
          <w:tcPr>
            <w:tcW w:w="838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02DA9D" w14:textId="77777777" w:rsidR="00D55C1E" w:rsidRDefault="00EB0A4E">
            <w:pPr>
              <w:jc w:val="right"/>
              <w:rPr>
                <w:rFonts w:ascii="Arial" w:eastAsia="Arial" w:hAnsi="Arial" w:cs="Arial"/>
                <w:i/>
                <w:sz w:val="20"/>
                <w:szCs w:val="20"/>
              </w:rPr>
            </w:pPr>
            <w:r>
              <w:rPr>
                <w:rFonts w:ascii="Arial" w:eastAsia="Arial" w:hAnsi="Arial" w:cs="Arial"/>
                <w:sz w:val="20"/>
                <w:szCs w:val="20"/>
              </w:rPr>
              <w:t>Total for programs that lead to additional/advanced credentials</w:t>
            </w:r>
          </w:p>
        </w:tc>
        <w:tc>
          <w:tcPr>
            <w:tcW w:w="2280"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0989B891" w14:textId="77777777" w:rsidR="00D55C1E" w:rsidRDefault="00EB0A4E">
            <w:pPr>
              <w:jc w:val="center"/>
              <w:rPr>
                <w:rFonts w:ascii="Arial" w:eastAsia="Arial" w:hAnsi="Arial" w:cs="Arial"/>
                <w:sz w:val="20"/>
                <w:szCs w:val="20"/>
              </w:rPr>
            </w:pPr>
            <w:r>
              <w:rPr>
                <w:rFonts w:ascii="Arial" w:eastAsia="Arial" w:hAnsi="Arial" w:cs="Arial"/>
                <w:sz w:val="20"/>
                <w:szCs w:val="20"/>
              </w:rPr>
              <w:t>0</w:t>
            </w:r>
          </w:p>
        </w:tc>
        <w:tc>
          <w:tcPr>
            <w:tcW w:w="2115"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037A4C00" w14:textId="77777777" w:rsidR="00D55C1E" w:rsidRDefault="00EB0A4E">
            <w:pPr>
              <w:jc w:val="center"/>
              <w:rPr>
                <w:rFonts w:ascii="Arial" w:eastAsia="Arial" w:hAnsi="Arial" w:cs="Arial"/>
                <w:sz w:val="20"/>
                <w:szCs w:val="20"/>
              </w:rPr>
            </w:pPr>
            <w:r>
              <w:rPr>
                <w:rFonts w:ascii="Arial" w:eastAsia="Arial" w:hAnsi="Arial" w:cs="Arial"/>
                <w:sz w:val="20"/>
                <w:szCs w:val="20"/>
              </w:rPr>
              <w:t>0</w:t>
            </w:r>
          </w:p>
        </w:tc>
      </w:tr>
      <w:tr w:rsidR="00D55C1E" w14:paraId="15C4822E" w14:textId="77777777">
        <w:trPr>
          <w:trHeight w:val="15"/>
        </w:trPr>
        <w:tc>
          <w:tcPr>
            <w:tcW w:w="12780"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2DAFF8" w14:textId="77777777" w:rsidR="00D55C1E" w:rsidRDefault="00EB0A4E">
            <w:pPr>
              <w:jc w:val="center"/>
              <w:rPr>
                <w:rFonts w:ascii="Arial" w:eastAsia="Arial" w:hAnsi="Arial" w:cs="Arial"/>
                <w:i/>
                <w:sz w:val="20"/>
                <w:szCs w:val="20"/>
              </w:rPr>
            </w:pPr>
            <w:r>
              <w:rPr>
                <w:rFonts w:ascii="Arial" w:eastAsia="Arial" w:hAnsi="Arial" w:cs="Arial"/>
                <w:b/>
                <w:i/>
                <w:sz w:val="20"/>
                <w:szCs w:val="20"/>
              </w:rPr>
              <w:t xml:space="preserve">Programs that </w:t>
            </w:r>
            <w:r>
              <w:rPr>
                <w:rFonts w:ascii="Arial" w:eastAsia="Arial" w:hAnsi="Arial" w:cs="Arial"/>
                <w:b/>
                <w:i/>
                <w:color w:val="3C4043"/>
                <w:sz w:val="21"/>
                <w:szCs w:val="21"/>
                <w:highlight w:val="white"/>
              </w:rPr>
              <w:t>lead to credentials for other school professionals or to no specific credential</w:t>
            </w:r>
          </w:p>
        </w:tc>
      </w:tr>
      <w:tr w:rsidR="00D55C1E" w14:paraId="51FECF2E" w14:textId="77777777">
        <w:trPr>
          <w:trHeight w:val="165"/>
        </w:trPr>
        <w:tc>
          <w:tcPr>
            <w:tcW w:w="4290"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2EC2E452" w14:textId="77777777" w:rsidR="00D55C1E" w:rsidRDefault="00D55C1E">
            <w:pPr>
              <w:rPr>
                <w:rFonts w:ascii="Arial" w:eastAsia="Arial" w:hAnsi="Arial" w:cs="Arial"/>
                <w:sz w:val="20"/>
                <w:szCs w:val="20"/>
              </w:rPr>
            </w:pPr>
          </w:p>
        </w:tc>
        <w:tc>
          <w:tcPr>
            <w:tcW w:w="4095"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05BDEDD1" w14:textId="77777777" w:rsidR="00D55C1E" w:rsidRDefault="00D55C1E">
            <w:pPr>
              <w:rPr>
                <w:rFonts w:ascii="Arial" w:eastAsia="Arial" w:hAnsi="Arial" w:cs="Arial"/>
                <w:sz w:val="20"/>
                <w:szCs w:val="20"/>
              </w:rPr>
            </w:pPr>
          </w:p>
        </w:tc>
        <w:tc>
          <w:tcPr>
            <w:tcW w:w="2280"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62591E1A" w14:textId="77777777" w:rsidR="00D55C1E" w:rsidRDefault="00D55C1E">
            <w:pPr>
              <w:jc w:val="center"/>
              <w:rPr>
                <w:rFonts w:ascii="Arial" w:eastAsia="Arial" w:hAnsi="Arial" w:cs="Arial"/>
                <w:sz w:val="20"/>
                <w:szCs w:val="20"/>
              </w:rPr>
            </w:pPr>
          </w:p>
        </w:tc>
        <w:tc>
          <w:tcPr>
            <w:tcW w:w="2115"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0FE4A79C" w14:textId="77777777" w:rsidR="00D55C1E" w:rsidRDefault="00D55C1E">
            <w:pPr>
              <w:jc w:val="center"/>
              <w:rPr>
                <w:rFonts w:ascii="Arial" w:eastAsia="Arial" w:hAnsi="Arial" w:cs="Arial"/>
                <w:sz w:val="20"/>
                <w:szCs w:val="20"/>
              </w:rPr>
            </w:pPr>
          </w:p>
        </w:tc>
      </w:tr>
      <w:tr w:rsidR="00D55C1E" w14:paraId="226AAFB0" w14:textId="77777777">
        <w:trPr>
          <w:trHeight w:val="135"/>
        </w:trPr>
        <w:tc>
          <w:tcPr>
            <w:tcW w:w="8385" w:type="dxa"/>
            <w:gridSpan w:val="2"/>
            <w:tcBorders>
              <w:top w:val="single" w:sz="4" w:space="0" w:color="000000"/>
              <w:left w:val="single" w:sz="4" w:space="0" w:color="000000"/>
              <w:bottom w:val="single" w:sz="12" w:space="0" w:color="000000"/>
              <w:right w:val="single" w:sz="4" w:space="0" w:color="000000"/>
            </w:tcBorders>
            <w:tcMar>
              <w:top w:w="80" w:type="dxa"/>
              <w:left w:w="80" w:type="dxa"/>
              <w:bottom w:w="80" w:type="dxa"/>
              <w:right w:w="80" w:type="dxa"/>
            </w:tcMar>
          </w:tcPr>
          <w:p w14:paraId="375F0ACD" w14:textId="77777777" w:rsidR="00D55C1E" w:rsidRDefault="00EB0A4E">
            <w:pPr>
              <w:jc w:val="right"/>
              <w:rPr>
                <w:rFonts w:ascii="Arial" w:eastAsia="Arial" w:hAnsi="Arial" w:cs="Arial"/>
                <w:i/>
                <w:sz w:val="20"/>
                <w:szCs w:val="20"/>
              </w:rPr>
            </w:pPr>
            <w:r>
              <w:rPr>
                <w:rFonts w:ascii="Arial" w:eastAsia="Arial" w:hAnsi="Arial" w:cs="Arial"/>
                <w:sz w:val="20"/>
                <w:szCs w:val="20"/>
              </w:rPr>
              <w:t>Total for additional programs</w:t>
            </w:r>
          </w:p>
        </w:tc>
        <w:tc>
          <w:tcPr>
            <w:tcW w:w="2280" w:type="dxa"/>
            <w:tcBorders>
              <w:top w:val="single" w:sz="4" w:space="0" w:color="000000"/>
              <w:left w:val="single" w:sz="4" w:space="0" w:color="000000"/>
              <w:bottom w:val="single" w:sz="12" w:space="0" w:color="000000"/>
              <w:right w:val="single" w:sz="4" w:space="0" w:color="000000"/>
            </w:tcBorders>
            <w:shd w:val="clear" w:color="auto" w:fill="D0E0E3"/>
            <w:tcMar>
              <w:top w:w="80" w:type="dxa"/>
              <w:left w:w="80" w:type="dxa"/>
              <w:bottom w:w="80" w:type="dxa"/>
              <w:right w:w="80" w:type="dxa"/>
            </w:tcMar>
          </w:tcPr>
          <w:p w14:paraId="542E3450" w14:textId="77777777" w:rsidR="00D55C1E" w:rsidRDefault="00EB0A4E">
            <w:pPr>
              <w:jc w:val="center"/>
              <w:rPr>
                <w:rFonts w:ascii="Arial" w:eastAsia="Arial" w:hAnsi="Arial" w:cs="Arial"/>
                <w:sz w:val="20"/>
                <w:szCs w:val="20"/>
              </w:rPr>
            </w:pPr>
            <w:r>
              <w:rPr>
                <w:rFonts w:ascii="Arial" w:eastAsia="Arial" w:hAnsi="Arial" w:cs="Arial"/>
                <w:sz w:val="20"/>
                <w:szCs w:val="20"/>
              </w:rPr>
              <w:t>0</w:t>
            </w:r>
          </w:p>
        </w:tc>
        <w:tc>
          <w:tcPr>
            <w:tcW w:w="2115" w:type="dxa"/>
            <w:tcBorders>
              <w:top w:val="single" w:sz="4" w:space="0" w:color="000000"/>
              <w:left w:val="single" w:sz="4" w:space="0" w:color="000000"/>
              <w:bottom w:val="single" w:sz="12" w:space="0" w:color="000000"/>
              <w:right w:val="single" w:sz="4" w:space="0" w:color="000000"/>
            </w:tcBorders>
            <w:shd w:val="clear" w:color="auto" w:fill="D0E0E3"/>
            <w:tcMar>
              <w:top w:w="80" w:type="dxa"/>
              <w:left w:w="80" w:type="dxa"/>
              <w:bottom w:w="80" w:type="dxa"/>
              <w:right w:w="80" w:type="dxa"/>
            </w:tcMar>
          </w:tcPr>
          <w:p w14:paraId="0B99B2BD" w14:textId="77777777" w:rsidR="00D55C1E" w:rsidRDefault="00EB0A4E">
            <w:pPr>
              <w:jc w:val="center"/>
              <w:rPr>
                <w:rFonts w:ascii="Arial" w:eastAsia="Arial" w:hAnsi="Arial" w:cs="Arial"/>
                <w:sz w:val="20"/>
                <w:szCs w:val="20"/>
              </w:rPr>
            </w:pPr>
            <w:r>
              <w:rPr>
                <w:rFonts w:ascii="Arial" w:eastAsia="Arial" w:hAnsi="Arial" w:cs="Arial"/>
                <w:sz w:val="20"/>
                <w:szCs w:val="20"/>
              </w:rPr>
              <w:t>0</w:t>
            </w:r>
          </w:p>
        </w:tc>
      </w:tr>
      <w:tr w:rsidR="00D55C1E" w14:paraId="5C6A03ED" w14:textId="77777777">
        <w:trPr>
          <w:trHeight w:val="109"/>
        </w:trPr>
        <w:tc>
          <w:tcPr>
            <w:tcW w:w="8385" w:type="dxa"/>
            <w:gridSpan w:val="2"/>
            <w:tcBorders>
              <w:top w:val="single" w:sz="12"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E2C129" w14:textId="77777777" w:rsidR="00D55C1E" w:rsidRDefault="00EB0A4E">
            <w:pPr>
              <w:jc w:val="right"/>
              <w:rPr>
                <w:rFonts w:ascii="Arial" w:eastAsia="Arial" w:hAnsi="Arial" w:cs="Arial"/>
                <w:b/>
                <w:sz w:val="20"/>
                <w:szCs w:val="20"/>
              </w:rPr>
            </w:pPr>
            <w:r>
              <w:rPr>
                <w:rFonts w:ascii="Arial" w:eastAsia="Arial" w:hAnsi="Arial" w:cs="Arial"/>
                <w:sz w:val="20"/>
                <w:szCs w:val="20"/>
              </w:rPr>
              <w:t>TOTAL enrollment and productivity for all programs</w:t>
            </w:r>
          </w:p>
        </w:tc>
        <w:tc>
          <w:tcPr>
            <w:tcW w:w="2280" w:type="dxa"/>
            <w:tcBorders>
              <w:top w:val="single" w:sz="12"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23193403" w14:textId="77777777" w:rsidR="00D55C1E" w:rsidRDefault="00EB0A4E">
            <w:pPr>
              <w:jc w:val="center"/>
              <w:rPr>
                <w:rFonts w:ascii="Arial" w:eastAsia="Arial" w:hAnsi="Arial" w:cs="Arial"/>
                <w:sz w:val="20"/>
                <w:szCs w:val="20"/>
              </w:rPr>
            </w:pPr>
            <w:r>
              <w:rPr>
                <w:rFonts w:ascii="Arial" w:eastAsia="Arial" w:hAnsi="Arial" w:cs="Arial"/>
                <w:sz w:val="20"/>
                <w:szCs w:val="20"/>
              </w:rPr>
              <w:t>645</w:t>
            </w:r>
          </w:p>
        </w:tc>
        <w:tc>
          <w:tcPr>
            <w:tcW w:w="2115" w:type="dxa"/>
            <w:tcBorders>
              <w:top w:val="single" w:sz="12"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18ED2325" w14:textId="77777777" w:rsidR="00D55C1E" w:rsidRDefault="00EB0A4E">
            <w:pPr>
              <w:jc w:val="center"/>
              <w:rPr>
                <w:rFonts w:ascii="Arial" w:eastAsia="Arial" w:hAnsi="Arial" w:cs="Arial"/>
                <w:sz w:val="20"/>
                <w:szCs w:val="20"/>
              </w:rPr>
            </w:pPr>
            <w:r>
              <w:rPr>
                <w:rFonts w:ascii="Arial" w:eastAsia="Arial" w:hAnsi="Arial" w:cs="Arial"/>
                <w:sz w:val="20"/>
                <w:szCs w:val="20"/>
              </w:rPr>
              <w:t>204</w:t>
            </w:r>
          </w:p>
        </w:tc>
      </w:tr>
      <w:tr w:rsidR="00D55C1E" w14:paraId="4724F28E" w14:textId="77777777">
        <w:trPr>
          <w:trHeight w:val="360"/>
        </w:trPr>
        <w:tc>
          <w:tcPr>
            <w:tcW w:w="8385"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2591DB" w14:textId="77777777" w:rsidR="00D55C1E" w:rsidRDefault="00EB0A4E">
            <w:pPr>
              <w:jc w:val="right"/>
              <w:rPr>
                <w:rFonts w:ascii="Arial" w:eastAsia="Arial" w:hAnsi="Arial" w:cs="Arial"/>
                <w:b/>
                <w:sz w:val="20"/>
                <w:szCs w:val="20"/>
              </w:rPr>
            </w:pPr>
            <w:r>
              <w:rPr>
                <w:rFonts w:ascii="Arial" w:eastAsia="Arial" w:hAnsi="Arial" w:cs="Arial"/>
                <w:sz w:val="20"/>
                <w:szCs w:val="20"/>
              </w:rPr>
              <w:t>Unduplicated total of all program candidates and completers</w:t>
            </w:r>
          </w:p>
        </w:tc>
        <w:tc>
          <w:tcPr>
            <w:tcW w:w="2280"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3E597AF1" w14:textId="77777777" w:rsidR="00D55C1E" w:rsidRDefault="00EB0A4E">
            <w:pPr>
              <w:jc w:val="center"/>
              <w:rPr>
                <w:rFonts w:ascii="Arial" w:eastAsia="Arial" w:hAnsi="Arial" w:cs="Arial"/>
                <w:sz w:val="20"/>
                <w:szCs w:val="20"/>
              </w:rPr>
            </w:pPr>
            <w:r>
              <w:rPr>
                <w:rFonts w:ascii="Arial" w:eastAsia="Arial" w:hAnsi="Arial" w:cs="Arial"/>
                <w:sz w:val="20"/>
                <w:szCs w:val="20"/>
              </w:rPr>
              <w:t>645</w:t>
            </w:r>
          </w:p>
        </w:tc>
        <w:tc>
          <w:tcPr>
            <w:tcW w:w="2115" w:type="dxa"/>
            <w:tcBorders>
              <w:top w:val="single" w:sz="4" w:space="0" w:color="000000"/>
              <w:left w:val="single" w:sz="4" w:space="0" w:color="000000"/>
              <w:bottom w:val="single" w:sz="4" w:space="0" w:color="000000"/>
              <w:right w:val="single" w:sz="4" w:space="0" w:color="000000"/>
            </w:tcBorders>
            <w:shd w:val="clear" w:color="auto" w:fill="D0E0E3"/>
            <w:tcMar>
              <w:top w:w="80" w:type="dxa"/>
              <w:left w:w="80" w:type="dxa"/>
              <w:bottom w:w="80" w:type="dxa"/>
              <w:right w:w="80" w:type="dxa"/>
            </w:tcMar>
          </w:tcPr>
          <w:p w14:paraId="09CE371C" w14:textId="77777777" w:rsidR="00D55C1E" w:rsidRDefault="00EB0A4E">
            <w:pPr>
              <w:jc w:val="center"/>
              <w:rPr>
                <w:rFonts w:ascii="Arial" w:eastAsia="Arial" w:hAnsi="Arial" w:cs="Arial"/>
                <w:sz w:val="20"/>
                <w:szCs w:val="20"/>
              </w:rPr>
            </w:pPr>
            <w:r>
              <w:rPr>
                <w:rFonts w:ascii="Arial" w:eastAsia="Arial" w:hAnsi="Arial" w:cs="Arial"/>
                <w:sz w:val="20"/>
                <w:szCs w:val="20"/>
              </w:rPr>
              <w:t>204</w:t>
            </w:r>
          </w:p>
        </w:tc>
      </w:tr>
    </w:tbl>
    <w:p w14:paraId="6F7A1311" w14:textId="77777777" w:rsidR="00D55C1E" w:rsidRDefault="00EB0A4E">
      <w:pPr>
        <w:spacing w:before="200" w:after="120" w:line="240" w:lineRule="auto"/>
        <w:rPr>
          <w:b/>
        </w:rPr>
      </w:pPr>
      <w:r>
        <w:rPr>
          <w:b/>
        </w:rPr>
        <w:t>Added or Discontinued Programs</w:t>
      </w:r>
    </w:p>
    <w:p w14:paraId="393A5914" w14:textId="77777777" w:rsidR="00D55C1E" w:rsidRDefault="00EB0A4E">
      <w:pPr>
        <w:spacing w:after="200"/>
      </w:pPr>
      <w:r>
        <w:lastRenderedPageBreak/>
        <w:t>Any programs within the AAQEP review that have been added or discontinued within the past year are listed below. (This list is required only from providers with accredited programs.)</w:t>
      </w:r>
    </w:p>
    <w:tbl>
      <w:tblPr>
        <w:tblStyle w:val="a3"/>
        <w:tblW w:w="12961"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2961"/>
      </w:tblGrid>
      <w:tr w:rsidR="00D55C1E" w14:paraId="33BB916A" w14:textId="77777777">
        <w:trPr>
          <w:trHeight w:val="21"/>
        </w:trPr>
        <w:tc>
          <w:tcPr>
            <w:tcW w:w="12961" w:type="dxa"/>
            <w:shd w:val="clear" w:color="auto" w:fill="D0E0E3"/>
            <w:tcMar>
              <w:top w:w="100" w:type="dxa"/>
              <w:left w:w="100" w:type="dxa"/>
              <w:bottom w:w="100" w:type="dxa"/>
              <w:right w:w="100" w:type="dxa"/>
            </w:tcMar>
          </w:tcPr>
          <w:p w14:paraId="0E782F4F" w14:textId="77777777" w:rsidR="00D55C1E" w:rsidRDefault="00EB0A4E">
            <w:pPr>
              <w:rPr>
                <w:rFonts w:ascii="Arial" w:eastAsia="Arial" w:hAnsi="Arial" w:cs="Arial"/>
                <w:sz w:val="22"/>
                <w:szCs w:val="22"/>
              </w:rPr>
            </w:pPr>
            <w:r>
              <w:rPr>
                <w:rFonts w:ascii="Arial" w:eastAsia="Arial" w:hAnsi="Arial" w:cs="Arial"/>
                <w:sz w:val="22"/>
                <w:szCs w:val="22"/>
              </w:rPr>
              <w:t>None</w:t>
            </w:r>
          </w:p>
        </w:tc>
      </w:tr>
    </w:tbl>
    <w:p w14:paraId="3DC64D53" w14:textId="77777777" w:rsidR="00D55C1E" w:rsidRDefault="00D55C1E">
      <w:pPr>
        <w:spacing w:line="240" w:lineRule="auto"/>
        <w:rPr>
          <w:sz w:val="24"/>
          <w:szCs w:val="24"/>
        </w:rPr>
      </w:pPr>
    </w:p>
    <w:p w14:paraId="7B913D5E" w14:textId="77777777" w:rsidR="00D55C1E" w:rsidRDefault="00EB0A4E">
      <w:pPr>
        <w:keepNext/>
        <w:numPr>
          <w:ilvl w:val="0"/>
          <w:numId w:val="6"/>
        </w:numPr>
        <w:spacing w:after="120"/>
        <w:ind w:left="360"/>
        <w:rPr>
          <w:b/>
        </w:rPr>
      </w:pPr>
      <w:r>
        <w:rPr>
          <w:b/>
          <w:sz w:val="28"/>
          <w:szCs w:val="28"/>
        </w:rPr>
        <w:t>Program Performance Indicators</w:t>
      </w:r>
    </w:p>
    <w:p w14:paraId="0DEC45A6" w14:textId="77777777" w:rsidR="00D55C1E" w:rsidRDefault="00EB0A4E">
      <w:pPr>
        <w:spacing w:after="200"/>
      </w:pPr>
      <w:r>
        <w:t>The program performance information in Table 2 applies to the academic year indicated in Table 1.</w:t>
      </w:r>
    </w:p>
    <w:p w14:paraId="3C38A694" w14:textId="77777777" w:rsidR="00D55C1E" w:rsidRDefault="00EB0A4E">
      <w:pPr>
        <w:keepNext/>
        <w:spacing w:after="120"/>
        <w:rPr>
          <w:b/>
        </w:rPr>
      </w:pPr>
      <w:r>
        <w:rPr>
          <w:b/>
        </w:rPr>
        <w:t>Table 2. Program Performance Indicators</w:t>
      </w:r>
    </w:p>
    <w:tbl>
      <w:tblPr>
        <w:tblStyle w:val="a4"/>
        <w:tblW w:w="12960" w:type="dxa"/>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60"/>
      </w:tblGrid>
      <w:tr w:rsidR="00D55C1E" w14:paraId="1FC78349" w14:textId="77777777">
        <w:trPr>
          <w:trHeight w:val="420"/>
        </w:trPr>
        <w:tc>
          <w:tcPr>
            <w:tcW w:w="12960" w:type="dxa"/>
            <w:shd w:val="clear" w:color="auto" w:fill="FFFFFF"/>
          </w:tcPr>
          <w:p w14:paraId="645B5B39" w14:textId="77777777" w:rsidR="00D55C1E" w:rsidRDefault="00EB0A4E">
            <w:pPr>
              <w:keepNext/>
              <w:keepLines/>
              <w:ind w:left="245" w:hanging="245"/>
              <w:rPr>
                <w:rFonts w:ascii="Arial" w:eastAsia="Arial" w:hAnsi="Arial" w:cs="Arial"/>
                <w:sz w:val="22"/>
                <w:szCs w:val="22"/>
              </w:rPr>
            </w:pPr>
            <w:r>
              <w:rPr>
                <w:rFonts w:ascii="Arial" w:eastAsia="Arial" w:hAnsi="Arial" w:cs="Arial"/>
                <w:sz w:val="22"/>
                <w:szCs w:val="22"/>
              </w:rPr>
              <w:t xml:space="preserve">A. </w:t>
            </w:r>
            <w:r>
              <w:rPr>
                <w:rFonts w:ascii="Arial" w:eastAsia="Arial" w:hAnsi="Arial" w:cs="Arial"/>
                <w:b/>
                <w:sz w:val="22"/>
                <w:szCs w:val="22"/>
              </w:rPr>
              <w:t>Total</w:t>
            </w:r>
            <w:r>
              <w:rPr>
                <w:rFonts w:ascii="Arial" w:eastAsia="Arial" w:hAnsi="Arial" w:cs="Arial"/>
                <w:sz w:val="22"/>
                <w:szCs w:val="22"/>
              </w:rPr>
              <w:t xml:space="preserve"> </w:t>
            </w:r>
            <w:r>
              <w:rPr>
                <w:rFonts w:ascii="Arial" w:eastAsia="Arial" w:hAnsi="Arial" w:cs="Arial"/>
                <w:b/>
                <w:sz w:val="22"/>
                <w:szCs w:val="22"/>
              </w:rPr>
              <w:t>enrollment</w:t>
            </w:r>
            <w:r>
              <w:rPr>
                <w:rFonts w:ascii="Arial" w:eastAsia="Arial" w:hAnsi="Arial" w:cs="Arial"/>
                <w:sz w:val="22"/>
                <w:szCs w:val="22"/>
              </w:rPr>
              <w:t xml:space="preserve"> in the educator preparation programs shown in Table 1. This figure is an unduplicated count, i.e., individuals earning more than one credential may be counted in more than one line above but only once here.</w:t>
            </w:r>
          </w:p>
        </w:tc>
      </w:tr>
      <w:tr w:rsidR="00D55C1E" w14:paraId="70F37ED5" w14:textId="77777777">
        <w:trPr>
          <w:trHeight w:val="25"/>
        </w:trPr>
        <w:tc>
          <w:tcPr>
            <w:tcW w:w="12960" w:type="dxa"/>
            <w:shd w:val="clear" w:color="auto" w:fill="D0E0E3"/>
          </w:tcPr>
          <w:p w14:paraId="4404385F" w14:textId="77777777" w:rsidR="00D55C1E" w:rsidRDefault="00D55C1E">
            <w:pPr>
              <w:keepLines/>
              <w:rPr>
                <w:rFonts w:ascii="Arial" w:eastAsia="Arial" w:hAnsi="Arial" w:cs="Arial"/>
                <w:sz w:val="22"/>
                <w:szCs w:val="22"/>
              </w:rPr>
            </w:pPr>
          </w:p>
        </w:tc>
      </w:tr>
      <w:tr w:rsidR="00D55C1E" w14:paraId="1917A37D" w14:textId="77777777">
        <w:trPr>
          <w:trHeight w:val="420"/>
        </w:trPr>
        <w:tc>
          <w:tcPr>
            <w:tcW w:w="12960" w:type="dxa"/>
            <w:shd w:val="clear" w:color="auto" w:fill="FFFFFF"/>
          </w:tcPr>
          <w:p w14:paraId="4855A7EA" w14:textId="77777777" w:rsidR="00D55C1E" w:rsidRDefault="00EB0A4E">
            <w:pPr>
              <w:keepNext/>
              <w:ind w:left="245" w:hanging="245"/>
              <w:rPr>
                <w:rFonts w:ascii="Arial" w:eastAsia="Arial" w:hAnsi="Arial" w:cs="Arial"/>
                <w:sz w:val="22"/>
                <w:szCs w:val="22"/>
              </w:rPr>
            </w:pPr>
            <w:r>
              <w:rPr>
                <w:rFonts w:ascii="Arial" w:eastAsia="Arial" w:hAnsi="Arial" w:cs="Arial"/>
                <w:sz w:val="22"/>
                <w:szCs w:val="22"/>
              </w:rPr>
              <w:t xml:space="preserve">B. </w:t>
            </w:r>
            <w:r>
              <w:rPr>
                <w:rFonts w:ascii="Arial" w:eastAsia="Arial" w:hAnsi="Arial" w:cs="Arial"/>
                <w:b/>
                <w:sz w:val="22"/>
                <w:szCs w:val="22"/>
              </w:rPr>
              <w:t xml:space="preserve">Total number of unique completers </w:t>
            </w:r>
            <w:r>
              <w:rPr>
                <w:rFonts w:ascii="Arial" w:eastAsia="Arial" w:hAnsi="Arial" w:cs="Arial"/>
                <w:sz w:val="22"/>
                <w:szCs w:val="22"/>
              </w:rPr>
              <w:t>(across all programs) included in Table 1. This figure is an unduplicated count, i.e., individuals who earned more than one credential may be counted in more than one line above but only once here.</w:t>
            </w:r>
          </w:p>
        </w:tc>
      </w:tr>
      <w:tr w:rsidR="00D55C1E" w14:paraId="62F0B15A" w14:textId="77777777">
        <w:trPr>
          <w:trHeight w:val="21"/>
        </w:trPr>
        <w:tc>
          <w:tcPr>
            <w:tcW w:w="12960" w:type="dxa"/>
            <w:shd w:val="clear" w:color="auto" w:fill="D0E0E3"/>
          </w:tcPr>
          <w:p w14:paraId="3AE79FF8" w14:textId="77777777" w:rsidR="00D55C1E" w:rsidRDefault="00EB0A4E">
            <w:pPr>
              <w:rPr>
                <w:rFonts w:ascii="Arial" w:eastAsia="Arial" w:hAnsi="Arial" w:cs="Arial"/>
                <w:sz w:val="22"/>
                <w:szCs w:val="22"/>
              </w:rPr>
            </w:pPr>
            <w:r>
              <w:rPr>
                <w:rFonts w:ascii="Arial" w:eastAsia="Arial" w:hAnsi="Arial" w:cs="Arial"/>
                <w:sz w:val="22"/>
                <w:szCs w:val="22"/>
              </w:rPr>
              <w:t>204</w:t>
            </w:r>
          </w:p>
        </w:tc>
      </w:tr>
      <w:tr w:rsidR="00D55C1E" w14:paraId="4FD91104" w14:textId="77777777">
        <w:trPr>
          <w:trHeight w:val="21"/>
        </w:trPr>
        <w:tc>
          <w:tcPr>
            <w:tcW w:w="12960" w:type="dxa"/>
            <w:shd w:val="clear" w:color="auto" w:fill="FFFFFF"/>
          </w:tcPr>
          <w:p w14:paraId="46D0B5BE" w14:textId="77777777" w:rsidR="00D55C1E" w:rsidRDefault="00EB0A4E">
            <w:pPr>
              <w:keepNext/>
              <w:ind w:left="245" w:hanging="245"/>
              <w:rPr>
                <w:rFonts w:ascii="Arial" w:eastAsia="Arial" w:hAnsi="Arial" w:cs="Arial"/>
                <w:sz w:val="22"/>
                <w:szCs w:val="22"/>
              </w:rPr>
            </w:pPr>
            <w:r>
              <w:rPr>
                <w:rFonts w:ascii="Arial" w:eastAsia="Arial" w:hAnsi="Arial" w:cs="Arial"/>
                <w:sz w:val="22"/>
                <w:szCs w:val="22"/>
              </w:rPr>
              <w:t xml:space="preserve">C. </w:t>
            </w:r>
            <w:r>
              <w:rPr>
                <w:rFonts w:ascii="Arial" w:eastAsia="Arial" w:hAnsi="Arial" w:cs="Arial"/>
                <w:b/>
                <w:sz w:val="22"/>
                <w:szCs w:val="22"/>
              </w:rPr>
              <w:t xml:space="preserve">Number of recommendations </w:t>
            </w:r>
            <w:r>
              <w:rPr>
                <w:rFonts w:ascii="Arial" w:eastAsia="Arial" w:hAnsi="Arial" w:cs="Arial"/>
                <w:sz w:val="22"/>
                <w:szCs w:val="22"/>
              </w:rPr>
              <w:t>for certificate, license, or endorsement included in Table 1.</w:t>
            </w:r>
          </w:p>
        </w:tc>
      </w:tr>
      <w:tr w:rsidR="00D55C1E" w14:paraId="0F5E968D" w14:textId="77777777">
        <w:trPr>
          <w:trHeight w:val="21"/>
        </w:trPr>
        <w:tc>
          <w:tcPr>
            <w:tcW w:w="12960" w:type="dxa"/>
            <w:shd w:val="clear" w:color="auto" w:fill="D0E0E3"/>
          </w:tcPr>
          <w:p w14:paraId="556E9BDF" w14:textId="77777777" w:rsidR="00D55C1E" w:rsidRDefault="00EB0A4E">
            <w:pPr>
              <w:rPr>
                <w:rFonts w:ascii="Arial" w:eastAsia="Arial" w:hAnsi="Arial" w:cs="Arial"/>
                <w:sz w:val="22"/>
                <w:szCs w:val="22"/>
              </w:rPr>
            </w:pPr>
            <w:r>
              <w:rPr>
                <w:rFonts w:ascii="Arial" w:eastAsia="Arial" w:hAnsi="Arial" w:cs="Arial"/>
                <w:sz w:val="22"/>
                <w:szCs w:val="22"/>
              </w:rPr>
              <w:t>204</w:t>
            </w:r>
          </w:p>
        </w:tc>
      </w:tr>
      <w:tr w:rsidR="00D55C1E" w14:paraId="4DCB791A" w14:textId="77777777">
        <w:trPr>
          <w:trHeight w:val="420"/>
        </w:trPr>
        <w:tc>
          <w:tcPr>
            <w:tcW w:w="12960" w:type="dxa"/>
            <w:shd w:val="clear" w:color="auto" w:fill="FFFFFF"/>
          </w:tcPr>
          <w:p w14:paraId="3AC25F36" w14:textId="77777777" w:rsidR="00D55C1E" w:rsidRDefault="00EB0A4E">
            <w:pPr>
              <w:keepNext/>
              <w:ind w:left="245" w:hanging="245"/>
              <w:rPr>
                <w:rFonts w:ascii="Arial" w:eastAsia="Arial" w:hAnsi="Arial" w:cs="Arial"/>
                <w:sz w:val="22"/>
                <w:szCs w:val="22"/>
              </w:rPr>
            </w:pPr>
            <w:r>
              <w:rPr>
                <w:rFonts w:ascii="Arial" w:eastAsia="Arial" w:hAnsi="Arial" w:cs="Arial"/>
                <w:sz w:val="22"/>
                <w:szCs w:val="22"/>
              </w:rPr>
              <w:t xml:space="preserve">D. </w:t>
            </w:r>
            <w:r>
              <w:rPr>
                <w:rFonts w:ascii="Arial" w:eastAsia="Arial" w:hAnsi="Arial" w:cs="Arial"/>
                <w:b/>
                <w:sz w:val="22"/>
                <w:szCs w:val="22"/>
              </w:rPr>
              <w:t>Cohort completion rates</w:t>
            </w:r>
            <w:r>
              <w:rPr>
                <w:rFonts w:ascii="Arial" w:eastAsia="Arial" w:hAnsi="Arial" w:cs="Arial"/>
                <w:sz w:val="22"/>
                <w:szCs w:val="22"/>
              </w:rPr>
              <w:t xml:space="preserve"> for candidates who completed the various programs within their respective program’s expected timeframe </w:t>
            </w:r>
            <w:r>
              <w:rPr>
                <w:rFonts w:ascii="Arial" w:eastAsia="Arial" w:hAnsi="Arial" w:cs="Arial"/>
                <w:b/>
                <w:sz w:val="22"/>
                <w:szCs w:val="22"/>
              </w:rPr>
              <w:t>and</w:t>
            </w:r>
            <w:r>
              <w:rPr>
                <w:rFonts w:ascii="Arial" w:eastAsia="Arial" w:hAnsi="Arial" w:cs="Arial"/>
                <w:sz w:val="22"/>
                <w:szCs w:val="22"/>
              </w:rPr>
              <w:t xml:space="preserve"> in 1.5 times the expected timeframe.</w:t>
            </w:r>
          </w:p>
        </w:tc>
      </w:tr>
      <w:tr w:rsidR="00D55C1E" w14:paraId="199EC16C" w14:textId="77777777">
        <w:trPr>
          <w:trHeight w:val="21"/>
        </w:trPr>
        <w:tc>
          <w:tcPr>
            <w:tcW w:w="12960" w:type="dxa"/>
            <w:shd w:val="clear" w:color="auto" w:fill="D0E0E3"/>
          </w:tcPr>
          <w:p w14:paraId="11F1B629" w14:textId="77777777" w:rsidR="00D55C1E" w:rsidRDefault="00EB0A4E">
            <w:pPr>
              <w:rPr>
                <w:rFonts w:ascii="Arial" w:eastAsia="Arial" w:hAnsi="Arial" w:cs="Arial"/>
                <w:sz w:val="22"/>
                <w:szCs w:val="22"/>
              </w:rPr>
            </w:pPr>
            <w:r>
              <w:rPr>
                <w:rFonts w:ascii="Arial" w:eastAsia="Arial" w:hAnsi="Arial" w:cs="Arial"/>
                <w:sz w:val="22"/>
                <w:szCs w:val="22"/>
              </w:rPr>
              <w:t xml:space="preserve">The expected completion rate varies by program. Undergraduates have a standard 4-year timeframe. Master’s Certification Teacher Education candidates </w:t>
            </w:r>
            <w:r w:rsidR="00375EB6">
              <w:rPr>
                <w:rFonts w:ascii="Arial" w:eastAsia="Arial" w:hAnsi="Arial" w:cs="Arial"/>
                <w:sz w:val="22"/>
                <w:szCs w:val="22"/>
              </w:rPr>
              <w:t>anticipate</w:t>
            </w:r>
            <w:r>
              <w:rPr>
                <w:rFonts w:ascii="Arial" w:eastAsia="Arial" w:hAnsi="Arial" w:cs="Arial"/>
                <w:sz w:val="22"/>
                <w:szCs w:val="22"/>
              </w:rPr>
              <w:t xml:space="preserve"> complet</w:t>
            </w:r>
            <w:r w:rsidR="00375EB6">
              <w:rPr>
                <w:rFonts w:ascii="Arial" w:eastAsia="Arial" w:hAnsi="Arial" w:cs="Arial"/>
                <w:sz w:val="22"/>
                <w:szCs w:val="22"/>
              </w:rPr>
              <w:t>ing</w:t>
            </w:r>
            <w:r>
              <w:rPr>
                <w:rFonts w:ascii="Arial" w:eastAsia="Arial" w:hAnsi="Arial" w:cs="Arial"/>
                <w:sz w:val="22"/>
                <w:szCs w:val="22"/>
              </w:rPr>
              <w:t xml:space="preserve"> their program in 1</w:t>
            </w:r>
            <w:r w:rsidR="00375EB6">
              <w:rPr>
                <w:rFonts w:ascii="Arial" w:eastAsia="Arial" w:hAnsi="Arial" w:cs="Arial"/>
                <w:sz w:val="22"/>
                <w:szCs w:val="22"/>
              </w:rPr>
              <w:t xml:space="preserve"> y</w:t>
            </w:r>
            <w:r>
              <w:rPr>
                <w:rFonts w:ascii="Arial" w:eastAsia="Arial" w:hAnsi="Arial" w:cs="Arial"/>
                <w:sz w:val="22"/>
                <w:szCs w:val="22"/>
              </w:rPr>
              <w:t xml:space="preserve">ear, and graduate Master of Education students expect to finish in two years. Note: Dual degree music majors, a Bachelor of Music Education (BME), and a Bachelor of Music in Performance (BM) take nine semesters to complete, an extended time compared to the other undergraduate programs. A student who wishes to receive two bachelor's degrees simultaneously must satisfactorily complete the regularly prescribed requirements of both degree programs and a minimum of 150 credits. Two students earned double degrees in different programs and content </w:t>
            </w:r>
            <w:proofErr w:type="gramStart"/>
            <w:r>
              <w:rPr>
                <w:rFonts w:ascii="Arial" w:eastAsia="Arial" w:hAnsi="Arial" w:cs="Arial"/>
                <w:sz w:val="22"/>
                <w:szCs w:val="22"/>
              </w:rPr>
              <w:t>areas,  which</w:t>
            </w:r>
            <w:proofErr w:type="gramEnd"/>
            <w:r>
              <w:rPr>
                <w:rFonts w:ascii="Arial" w:eastAsia="Arial" w:hAnsi="Arial" w:cs="Arial"/>
                <w:sz w:val="22"/>
                <w:szCs w:val="22"/>
              </w:rPr>
              <w:t xml:space="preserve"> meets the expanded completion criteria of increased coursework.</w:t>
            </w:r>
          </w:p>
          <w:p w14:paraId="00E602F6" w14:textId="77777777" w:rsidR="00D55C1E" w:rsidRDefault="00D55C1E">
            <w:pPr>
              <w:rPr>
                <w:rFonts w:ascii="Arial" w:eastAsia="Arial" w:hAnsi="Arial" w:cs="Arial"/>
                <w:sz w:val="22"/>
                <w:szCs w:val="22"/>
              </w:rPr>
            </w:pPr>
          </w:p>
          <w:p w14:paraId="130C5676" w14:textId="77777777" w:rsidR="00D55C1E" w:rsidRDefault="00D55C1E">
            <w:pPr>
              <w:rPr>
                <w:rFonts w:ascii="Arial" w:eastAsia="Arial" w:hAnsi="Arial" w:cs="Arial"/>
                <w:sz w:val="22"/>
                <w:szCs w:val="22"/>
              </w:rPr>
            </w:pPr>
          </w:p>
          <w:tbl>
            <w:tblPr>
              <w:tblStyle w:val="a5"/>
              <w:tblW w:w="127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52"/>
              <w:gridCol w:w="2552"/>
              <w:gridCol w:w="2552"/>
              <w:gridCol w:w="2552"/>
              <w:gridCol w:w="2552"/>
            </w:tblGrid>
            <w:tr w:rsidR="00D55C1E" w14:paraId="3186F106" w14:textId="77777777">
              <w:trPr>
                <w:trHeight w:val="420"/>
              </w:trPr>
              <w:tc>
                <w:tcPr>
                  <w:tcW w:w="12760" w:type="dxa"/>
                  <w:gridSpan w:val="5"/>
                  <w:shd w:val="clear" w:color="auto" w:fill="FFF2CC"/>
                  <w:tcMar>
                    <w:top w:w="100" w:type="dxa"/>
                    <w:left w:w="100" w:type="dxa"/>
                    <w:bottom w:w="100" w:type="dxa"/>
                    <w:right w:w="100" w:type="dxa"/>
                  </w:tcMar>
                </w:tcPr>
                <w:p w14:paraId="5B5D9E18" w14:textId="77777777" w:rsidR="00D55C1E" w:rsidRDefault="00EB0A4E">
                  <w:pPr>
                    <w:widowControl w:val="0"/>
                    <w:pBdr>
                      <w:top w:val="nil"/>
                      <w:left w:val="nil"/>
                      <w:bottom w:val="nil"/>
                      <w:right w:val="nil"/>
                      <w:between w:val="nil"/>
                    </w:pBdr>
                    <w:spacing w:line="240" w:lineRule="auto"/>
                    <w:jc w:val="center"/>
                    <w:rPr>
                      <w:b/>
                      <w:color w:val="FFF2CC"/>
                    </w:rPr>
                  </w:pPr>
                  <w:r>
                    <w:rPr>
                      <w:b/>
                    </w:rPr>
                    <w:lastRenderedPageBreak/>
                    <w:t>Undergraduate Teacher Education</w:t>
                  </w:r>
                </w:p>
              </w:tc>
            </w:tr>
            <w:tr w:rsidR="00D55C1E" w14:paraId="41F2D26E" w14:textId="77777777">
              <w:tc>
                <w:tcPr>
                  <w:tcW w:w="2552" w:type="dxa"/>
                  <w:shd w:val="clear" w:color="auto" w:fill="auto"/>
                  <w:tcMar>
                    <w:top w:w="100" w:type="dxa"/>
                    <w:left w:w="100" w:type="dxa"/>
                    <w:bottom w:w="100" w:type="dxa"/>
                    <w:right w:w="100" w:type="dxa"/>
                  </w:tcMar>
                </w:tcPr>
                <w:p w14:paraId="20D93D70" w14:textId="77777777" w:rsidR="00D55C1E" w:rsidRDefault="00EB0A4E">
                  <w:pPr>
                    <w:widowControl w:val="0"/>
                    <w:pBdr>
                      <w:top w:val="nil"/>
                      <w:left w:val="nil"/>
                      <w:bottom w:val="nil"/>
                      <w:right w:val="nil"/>
                      <w:between w:val="nil"/>
                    </w:pBdr>
                    <w:spacing w:line="240" w:lineRule="auto"/>
                    <w:jc w:val="center"/>
                  </w:pPr>
                  <w:r>
                    <w:t>Initial Cohort</w:t>
                  </w:r>
                </w:p>
              </w:tc>
              <w:tc>
                <w:tcPr>
                  <w:tcW w:w="2552" w:type="dxa"/>
                  <w:shd w:val="clear" w:color="auto" w:fill="auto"/>
                  <w:tcMar>
                    <w:top w:w="100" w:type="dxa"/>
                    <w:left w:w="100" w:type="dxa"/>
                    <w:bottom w:w="100" w:type="dxa"/>
                    <w:right w:w="100" w:type="dxa"/>
                  </w:tcMar>
                </w:tcPr>
                <w:p w14:paraId="4916A563" w14:textId="77777777" w:rsidR="00D55C1E" w:rsidRDefault="00EB0A4E">
                  <w:pPr>
                    <w:widowControl w:val="0"/>
                    <w:pBdr>
                      <w:top w:val="nil"/>
                      <w:left w:val="nil"/>
                      <w:bottom w:val="nil"/>
                      <w:right w:val="nil"/>
                      <w:between w:val="nil"/>
                    </w:pBdr>
                    <w:spacing w:line="240" w:lineRule="auto"/>
                    <w:jc w:val="center"/>
                  </w:pPr>
                  <w:r>
                    <w:t>Graduated in</w:t>
                  </w:r>
                </w:p>
                <w:p w14:paraId="04D3AD8C" w14:textId="77777777" w:rsidR="00D55C1E" w:rsidRDefault="00EB0A4E">
                  <w:pPr>
                    <w:widowControl w:val="0"/>
                    <w:pBdr>
                      <w:top w:val="nil"/>
                      <w:left w:val="nil"/>
                      <w:bottom w:val="nil"/>
                      <w:right w:val="nil"/>
                      <w:between w:val="nil"/>
                    </w:pBdr>
                    <w:spacing w:line="240" w:lineRule="auto"/>
                    <w:jc w:val="center"/>
                  </w:pPr>
                  <w:r>
                    <w:t>100% time</w:t>
                  </w:r>
                </w:p>
                <w:p w14:paraId="47B57A86" w14:textId="77777777" w:rsidR="00D55C1E" w:rsidRDefault="00EB0A4E">
                  <w:pPr>
                    <w:widowControl w:val="0"/>
                    <w:pBdr>
                      <w:top w:val="nil"/>
                      <w:left w:val="nil"/>
                      <w:bottom w:val="nil"/>
                      <w:right w:val="nil"/>
                      <w:between w:val="nil"/>
                    </w:pBdr>
                    <w:spacing w:line="240" w:lineRule="auto"/>
                    <w:jc w:val="center"/>
                  </w:pPr>
                  <w:r>
                    <w:t>(4 years)</w:t>
                  </w:r>
                </w:p>
              </w:tc>
              <w:tc>
                <w:tcPr>
                  <w:tcW w:w="2552" w:type="dxa"/>
                  <w:shd w:val="clear" w:color="auto" w:fill="auto"/>
                  <w:tcMar>
                    <w:top w:w="100" w:type="dxa"/>
                    <w:left w:w="100" w:type="dxa"/>
                    <w:bottom w:w="100" w:type="dxa"/>
                    <w:right w:w="100" w:type="dxa"/>
                  </w:tcMar>
                </w:tcPr>
                <w:p w14:paraId="182A3608" w14:textId="77777777" w:rsidR="00D55C1E" w:rsidRDefault="00EB0A4E">
                  <w:pPr>
                    <w:widowControl w:val="0"/>
                    <w:spacing w:line="240" w:lineRule="auto"/>
                    <w:jc w:val="center"/>
                  </w:pPr>
                  <w:r>
                    <w:t>Graduated in</w:t>
                  </w:r>
                </w:p>
                <w:p w14:paraId="26679219" w14:textId="77777777" w:rsidR="00D55C1E" w:rsidRDefault="00EB0A4E">
                  <w:pPr>
                    <w:widowControl w:val="0"/>
                    <w:spacing w:line="240" w:lineRule="auto"/>
                    <w:jc w:val="center"/>
                  </w:pPr>
                  <w:r>
                    <w:t>150% time</w:t>
                  </w:r>
                </w:p>
                <w:p w14:paraId="6E5C7D9B" w14:textId="77777777" w:rsidR="00D55C1E" w:rsidRDefault="00EB0A4E">
                  <w:pPr>
                    <w:widowControl w:val="0"/>
                    <w:spacing w:line="240" w:lineRule="auto"/>
                    <w:jc w:val="center"/>
                  </w:pPr>
                  <w:r>
                    <w:t>(6 years)</w:t>
                  </w:r>
                </w:p>
              </w:tc>
              <w:tc>
                <w:tcPr>
                  <w:tcW w:w="2552" w:type="dxa"/>
                  <w:shd w:val="clear" w:color="auto" w:fill="auto"/>
                  <w:tcMar>
                    <w:top w:w="100" w:type="dxa"/>
                    <w:left w:w="100" w:type="dxa"/>
                    <w:bottom w:w="100" w:type="dxa"/>
                    <w:right w:w="100" w:type="dxa"/>
                  </w:tcMar>
                </w:tcPr>
                <w:p w14:paraId="6D4B89CF" w14:textId="77777777" w:rsidR="00D55C1E" w:rsidRDefault="00EB0A4E">
                  <w:pPr>
                    <w:widowControl w:val="0"/>
                    <w:pBdr>
                      <w:top w:val="nil"/>
                      <w:left w:val="nil"/>
                      <w:bottom w:val="nil"/>
                      <w:right w:val="nil"/>
                      <w:between w:val="nil"/>
                    </w:pBdr>
                    <w:spacing w:line="240" w:lineRule="auto"/>
                    <w:jc w:val="center"/>
                  </w:pPr>
                  <w:r>
                    <w:t>Graduation</w:t>
                  </w:r>
                </w:p>
                <w:p w14:paraId="05F2B6A0" w14:textId="77777777" w:rsidR="00D55C1E" w:rsidRDefault="00EB0A4E">
                  <w:pPr>
                    <w:widowControl w:val="0"/>
                    <w:pBdr>
                      <w:top w:val="nil"/>
                      <w:left w:val="nil"/>
                      <w:bottom w:val="nil"/>
                      <w:right w:val="nil"/>
                      <w:between w:val="nil"/>
                    </w:pBdr>
                    <w:spacing w:line="240" w:lineRule="auto"/>
                    <w:jc w:val="center"/>
                  </w:pPr>
                  <w:r>
                    <w:t>Rate %</w:t>
                  </w:r>
                </w:p>
                <w:p w14:paraId="4B54C54E" w14:textId="77777777" w:rsidR="00D55C1E" w:rsidRDefault="00EB0A4E">
                  <w:pPr>
                    <w:widowControl w:val="0"/>
                    <w:pBdr>
                      <w:top w:val="nil"/>
                      <w:left w:val="nil"/>
                      <w:bottom w:val="nil"/>
                      <w:right w:val="nil"/>
                      <w:between w:val="nil"/>
                    </w:pBdr>
                    <w:spacing w:line="240" w:lineRule="auto"/>
                    <w:jc w:val="center"/>
                  </w:pPr>
                  <w:r>
                    <w:t>(4 Years)</w:t>
                  </w:r>
                </w:p>
              </w:tc>
              <w:tc>
                <w:tcPr>
                  <w:tcW w:w="2552" w:type="dxa"/>
                  <w:shd w:val="clear" w:color="auto" w:fill="auto"/>
                  <w:tcMar>
                    <w:top w:w="100" w:type="dxa"/>
                    <w:left w:w="100" w:type="dxa"/>
                    <w:bottom w:w="100" w:type="dxa"/>
                    <w:right w:w="100" w:type="dxa"/>
                  </w:tcMar>
                </w:tcPr>
                <w:p w14:paraId="0E222F7C" w14:textId="77777777" w:rsidR="00D55C1E" w:rsidRDefault="00EB0A4E">
                  <w:pPr>
                    <w:widowControl w:val="0"/>
                    <w:spacing w:line="240" w:lineRule="auto"/>
                    <w:jc w:val="center"/>
                  </w:pPr>
                  <w:r>
                    <w:t>Graduation</w:t>
                  </w:r>
                </w:p>
                <w:p w14:paraId="50845BF9" w14:textId="77777777" w:rsidR="00D55C1E" w:rsidRDefault="00EB0A4E">
                  <w:pPr>
                    <w:widowControl w:val="0"/>
                    <w:spacing w:line="240" w:lineRule="auto"/>
                    <w:jc w:val="center"/>
                  </w:pPr>
                  <w:r>
                    <w:t>Rate %</w:t>
                  </w:r>
                </w:p>
                <w:p w14:paraId="00C93494" w14:textId="77777777" w:rsidR="00D55C1E" w:rsidRDefault="00EB0A4E">
                  <w:pPr>
                    <w:widowControl w:val="0"/>
                    <w:spacing w:line="240" w:lineRule="auto"/>
                    <w:jc w:val="center"/>
                  </w:pPr>
                  <w:r>
                    <w:t>(6 Years)</w:t>
                  </w:r>
                </w:p>
              </w:tc>
            </w:tr>
            <w:tr w:rsidR="00D55C1E" w14:paraId="52657DF1" w14:textId="77777777">
              <w:tc>
                <w:tcPr>
                  <w:tcW w:w="2552" w:type="dxa"/>
                  <w:shd w:val="clear" w:color="auto" w:fill="auto"/>
                  <w:tcMar>
                    <w:top w:w="100" w:type="dxa"/>
                    <w:left w:w="100" w:type="dxa"/>
                    <w:bottom w:w="100" w:type="dxa"/>
                    <w:right w:w="100" w:type="dxa"/>
                  </w:tcMar>
                </w:tcPr>
                <w:p w14:paraId="1B7F9670" w14:textId="77777777" w:rsidR="00D55C1E" w:rsidRDefault="00EB0A4E">
                  <w:pPr>
                    <w:widowControl w:val="0"/>
                    <w:pBdr>
                      <w:top w:val="nil"/>
                      <w:left w:val="nil"/>
                      <w:bottom w:val="nil"/>
                      <w:right w:val="nil"/>
                      <w:between w:val="nil"/>
                    </w:pBdr>
                    <w:spacing w:line="240" w:lineRule="auto"/>
                    <w:jc w:val="center"/>
                  </w:pPr>
                  <w:r>
                    <w:t>134</w:t>
                  </w:r>
                </w:p>
              </w:tc>
              <w:tc>
                <w:tcPr>
                  <w:tcW w:w="2552" w:type="dxa"/>
                  <w:shd w:val="clear" w:color="auto" w:fill="auto"/>
                  <w:tcMar>
                    <w:top w:w="100" w:type="dxa"/>
                    <w:left w:w="100" w:type="dxa"/>
                    <w:bottom w:w="100" w:type="dxa"/>
                    <w:right w:w="100" w:type="dxa"/>
                  </w:tcMar>
                </w:tcPr>
                <w:p w14:paraId="08BB08C7" w14:textId="77777777" w:rsidR="00D55C1E" w:rsidRDefault="00EB0A4E">
                  <w:pPr>
                    <w:widowControl w:val="0"/>
                    <w:pBdr>
                      <w:top w:val="nil"/>
                      <w:left w:val="nil"/>
                      <w:bottom w:val="nil"/>
                      <w:right w:val="nil"/>
                      <w:between w:val="nil"/>
                    </w:pBdr>
                    <w:spacing w:line="240" w:lineRule="auto"/>
                    <w:jc w:val="center"/>
                  </w:pPr>
                  <w:r>
                    <w:t>123</w:t>
                  </w:r>
                </w:p>
              </w:tc>
              <w:tc>
                <w:tcPr>
                  <w:tcW w:w="2552" w:type="dxa"/>
                  <w:shd w:val="clear" w:color="auto" w:fill="auto"/>
                  <w:tcMar>
                    <w:top w:w="100" w:type="dxa"/>
                    <w:left w:w="100" w:type="dxa"/>
                    <w:bottom w:w="100" w:type="dxa"/>
                    <w:right w:w="100" w:type="dxa"/>
                  </w:tcMar>
                </w:tcPr>
                <w:p w14:paraId="0A4C75B7" w14:textId="77777777" w:rsidR="00D55C1E" w:rsidRDefault="00EB0A4E">
                  <w:pPr>
                    <w:widowControl w:val="0"/>
                    <w:pBdr>
                      <w:top w:val="nil"/>
                      <w:left w:val="nil"/>
                      <w:bottom w:val="nil"/>
                      <w:right w:val="nil"/>
                      <w:between w:val="nil"/>
                    </w:pBdr>
                    <w:spacing w:line="240" w:lineRule="auto"/>
                    <w:jc w:val="center"/>
                  </w:pPr>
                  <w:r>
                    <w:t>11</w:t>
                  </w:r>
                </w:p>
              </w:tc>
              <w:tc>
                <w:tcPr>
                  <w:tcW w:w="2552" w:type="dxa"/>
                  <w:shd w:val="clear" w:color="auto" w:fill="auto"/>
                  <w:tcMar>
                    <w:top w:w="100" w:type="dxa"/>
                    <w:left w:w="100" w:type="dxa"/>
                    <w:bottom w:w="100" w:type="dxa"/>
                    <w:right w:w="100" w:type="dxa"/>
                  </w:tcMar>
                </w:tcPr>
                <w:p w14:paraId="324CA288" w14:textId="77777777" w:rsidR="00D55C1E" w:rsidRDefault="00EB0A4E">
                  <w:pPr>
                    <w:widowControl w:val="0"/>
                    <w:pBdr>
                      <w:top w:val="nil"/>
                      <w:left w:val="nil"/>
                      <w:bottom w:val="nil"/>
                      <w:right w:val="nil"/>
                      <w:between w:val="nil"/>
                    </w:pBdr>
                    <w:spacing w:line="240" w:lineRule="auto"/>
                    <w:jc w:val="center"/>
                  </w:pPr>
                  <w:r>
                    <w:t>92%</w:t>
                  </w:r>
                </w:p>
              </w:tc>
              <w:tc>
                <w:tcPr>
                  <w:tcW w:w="2552" w:type="dxa"/>
                  <w:shd w:val="clear" w:color="auto" w:fill="auto"/>
                  <w:tcMar>
                    <w:top w:w="100" w:type="dxa"/>
                    <w:left w:w="100" w:type="dxa"/>
                    <w:bottom w:w="100" w:type="dxa"/>
                    <w:right w:w="100" w:type="dxa"/>
                  </w:tcMar>
                </w:tcPr>
                <w:p w14:paraId="410405F6" w14:textId="77777777" w:rsidR="00D55C1E" w:rsidRDefault="00EB0A4E">
                  <w:pPr>
                    <w:widowControl w:val="0"/>
                    <w:pBdr>
                      <w:top w:val="nil"/>
                      <w:left w:val="nil"/>
                      <w:bottom w:val="nil"/>
                      <w:right w:val="nil"/>
                      <w:between w:val="nil"/>
                    </w:pBdr>
                    <w:spacing w:line="240" w:lineRule="auto"/>
                    <w:jc w:val="center"/>
                  </w:pPr>
                  <w:r>
                    <w:t>8%</w:t>
                  </w:r>
                </w:p>
              </w:tc>
            </w:tr>
          </w:tbl>
          <w:p w14:paraId="1A9D5CA5" w14:textId="77777777" w:rsidR="00D55C1E" w:rsidRDefault="00D55C1E">
            <w:pPr>
              <w:jc w:val="center"/>
              <w:rPr>
                <w:rFonts w:ascii="Arial" w:eastAsia="Arial" w:hAnsi="Arial" w:cs="Arial"/>
                <w:sz w:val="22"/>
                <w:szCs w:val="22"/>
              </w:rPr>
            </w:pPr>
          </w:p>
          <w:p w14:paraId="21F7F478" w14:textId="77777777" w:rsidR="00D55C1E" w:rsidRDefault="00D55C1E">
            <w:pPr>
              <w:jc w:val="center"/>
              <w:rPr>
                <w:rFonts w:ascii="Arial" w:eastAsia="Arial" w:hAnsi="Arial" w:cs="Arial"/>
                <w:sz w:val="22"/>
                <w:szCs w:val="22"/>
              </w:rPr>
            </w:pPr>
          </w:p>
          <w:tbl>
            <w:tblPr>
              <w:tblStyle w:val="a6"/>
              <w:tblW w:w="127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52"/>
              <w:gridCol w:w="2552"/>
              <w:gridCol w:w="2552"/>
              <w:gridCol w:w="2552"/>
              <w:gridCol w:w="2552"/>
            </w:tblGrid>
            <w:tr w:rsidR="00D55C1E" w14:paraId="4C12936A" w14:textId="77777777">
              <w:trPr>
                <w:trHeight w:val="420"/>
              </w:trPr>
              <w:tc>
                <w:tcPr>
                  <w:tcW w:w="12760" w:type="dxa"/>
                  <w:gridSpan w:val="5"/>
                  <w:shd w:val="clear" w:color="auto" w:fill="FFF2CC"/>
                  <w:tcMar>
                    <w:top w:w="100" w:type="dxa"/>
                    <w:left w:w="100" w:type="dxa"/>
                    <w:bottom w:w="100" w:type="dxa"/>
                    <w:right w:w="100" w:type="dxa"/>
                  </w:tcMar>
                </w:tcPr>
                <w:p w14:paraId="406A60DB" w14:textId="77777777" w:rsidR="00D55C1E" w:rsidRDefault="00EB0A4E">
                  <w:pPr>
                    <w:widowControl w:val="0"/>
                    <w:pBdr>
                      <w:top w:val="nil"/>
                      <w:left w:val="nil"/>
                      <w:bottom w:val="nil"/>
                      <w:right w:val="nil"/>
                      <w:between w:val="nil"/>
                    </w:pBdr>
                    <w:spacing w:line="240" w:lineRule="auto"/>
                    <w:jc w:val="center"/>
                    <w:rPr>
                      <w:b/>
                    </w:rPr>
                  </w:pPr>
                  <w:r>
                    <w:rPr>
                      <w:b/>
                    </w:rPr>
                    <w:t>Graduate Teacher Education</w:t>
                  </w:r>
                </w:p>
              </w:tc>
            </w:tr>
            <w:tr w:rsidR="00D55C1E" w14:paraId="7508FA1E" w14:textId="77777777">
              <w:tc>
                <w:tcPr>
                  <w:tcW w:w="2552" w:type="dxa"/>
                  <w:shd w:val="clear" w:color="auto" w:fill="auto"/>
                  <w:tcMar>
                    <w:top w:w="100" w:type="dxa"/>
                    <w:left w:w="100" w:type="dxa"/>
                    <w:bottom w:w="100" w:type="dxa"/>
                    <w:right w:w="100" w:type="dxa"/>
                  </w:tcMar>
                </w:tcPr>
                <w:p w14:paraId="7FAE2BE3" w14:textId="77777777" w:rsidR="00D55C1E" w:rsidRDefault="00EB0A4E">
                  <w:pPr>
                    <w:widowControl w:val="0"/>
                    <w:spacing w:line="240" w:lineRule="auto"/>
                    <w:jc w:val="center"/>
                  </w:pPr>
                  <w:r>
                    <w:t>Initial Cohort</w:t>
                  </w:r>
                </w:p>
              </w:tc>
              <w:tc>
                <w:tcPr>
                  <w:tcW w:w="2552" w:type="dxa"/>
                  <w:shd w:val="clear" w:color="auto" w:fill="auto"/>
                  <w:tcMar>
                    <w:top w:w="100" w:type="dxa"/>
                    <w:left w:w="100" w:type="dxa"/>
                    <w:bottom w:w="100" w:type="dxa"/>
                    <w:right w:w="100" w:type="dxa"/>
                  </w:tcMar>
                </w:tcPr>
                <w:p w14:paraId="57D69042" w14:textId="77777777" w:rsidR="00D55C1E" w:rsidRDefault="00EB0A4E">
                  <w:pPr>
                    <w:widowControl w:val="0"/>
                    <w:spacing w:line="240" w:lineRule="auto"/>
                    <w:jc w:val="center"/>
                  </w:pPr>
                  <w:r>
                    <w:t>Graduated in</w:t>
                  </w:r>
                </w:p>
                <w:p w14:paraId="5D692A49" w14:textId="77777777" w:rsidR="00D55C1E" w:rsidRDefault="00EB0A4E">
                  <w:pPr>
                    <w:widowControl w:val="0"/>
                    <w:spacing w:line="240" w:lineRule="auto"/>
                    <w:jc w:val="center"/>
                  </w:pPr>
                  <w:r>
                    <w:t>100% time</w:t>
                  </w:r>
                </w:p>
                <w:p w14:paraId="26882B75" w14:textId="77777777" w:rsidR="00D55C1E" w:rsidRDefault="00EB0A4E">
                  <w:pPr>
                    <w:widowControl w:val="0"/>
                    <w:spacing w:line="240" w:lineRule="auto"/>
                    <w:jc w:val="center"/>
                  </w:pPr>
                  <w:r>
                    <w:t>(1 year)</w:t>
                  </w:r>
                </w:p>
              </w:tc>
              <w:tc>
                <w:tcPr>
                  <w:tcW w:w="2552" w:type="dxa"/>
                  <w:shd w:val="clear" w:color="auto" w:fill="auto"/>
                  <w:tcMar>
                    <w:top w:w="100" w:type="dxa"/>
                    <w:left w:w="100" w:type="dxa"/>
                    <w:bottom w:w="100" w:type="dxa"/>
                    <w:right w:w="100" w:type="dxa"/>
                  </w:tcMar>
                </w:tcPr>
                <w:p w14:paraId="50F7E16C" w14:textId="77777777" w:rsidR="00D55C1E" w:rsidRDefault="00EB0A4E">
                  <w:pPr>
                    <w:widowControl w:val="0"/>
                    <w:spacing w:line="240" w:lineRule="auto"/>
                    <w:jc w:val="center"/>
                  </w:pPr>
                  <w:r>
                    <w:t>Graduated in</w:t>
                  </w:r>
                </w:p>
                <w:p w14:paraId="508FD5BC" w14:textId="77777777" w:rsidR="00D55C1E" w:rsidRDefault="00EB0A4E">
                  <w:pPr>
                    <w:widowControl w:val="0"/>
                    <w:spacing w:line="240" w:lineRule="auto"/>
                    <w:jc w:val="center"/>
                  </w:pPr>
                  <w:r>
                    <w:t>150% time</w:t>
                  </w:r>
                </w:p>
                <w:p w14:paraId="39075D8C" w14:textId="77777777" w:rsidR="00D55C1E" w:rsidRDefault="00EB0A4E">
                  <w:pPr>
                    <w:widowControl w:val="0"/>
                    <w:spacing w:line="240" w:lineRule="auto"/>
                    <w:jc w:val="center"/>
                  </w:pPr>
                  <w:r>
                    <w:t>(1.5 years)</w:t>
                  </w:r>
                </w:p>
              </w:tc>
              <w:tc>
                <w:tcPr>
                  <w:tcW w:w="2552" w:type="dxa"/>
                  <w:shd w:val="clear" w:color="auto" w:fill="auto"/>
                  <w:tcMar>
                    <w:top w:w="100" w:type="dxa"/>
                    <w:left w:w="100" w:type="dxa"/>
                    <w:bottom w:w="100" w:type="dxa"/>
                    <w:right w:w="100" w:type="dxa"/>
                  </w:tcMar>
                </w:tcPr>
                <w:p w14:paraId="6A9C8BF0" w14:textId="77777777" w:rsidR="00D55C1E" w:rsidRDefault="00EB0A4E">
                  <w:pPr>
                    <w:widowControl w:val="0"/>
                    <w:spacing w:line="240" w:lineRule="auto"/>
                    <w:jc w:val="center"/>
                  </w:pPr>
                  <w:r>
                    <w:t>Graduation</w:t>
                  </w:r>
                </w:p>
                <w:p w14:paraId="12B16C5A" w14:textId="77777777" w:rsidR="00D55C1E" w:rsidRDefault="00EB0A4E">
                  <w:pPr>
                    <w:widowControl w:val="0"/>
                    <w:spacing w:line="240" w:lineRule="auto"/>
                    <w:jc w:val="center"/>
                  </w:pPr>
                  <w:r>
                    <w:t>Rate %</w:t>
                  </w:r>
                </w:p>
                <w:p w14:paraId="3B967D55" w14:textId="77777777" w:rsidR="00D55C1E" w:rsidRDefault="00EB0A4E">
                  <w:pPr>
                    <w:widowControl w:val="0"/>
                    <w:spacing w:line="240" w:lineRule="auto"/>
                    <w:jc w:val="center"/>
                  </w:pPr>
                  <w:r>
                    <w:t xml:space="preserve">(1 </w:t>
                  </w:r>
                  <w:r w:rsidR="00375EB6">
                    <w:t>Year</w:t>
                  </w:r>
                  <w:r>
                    <w:t>)</w:t>
                  </w:r>
                </w:p>
              </w:tc>
              <w:tc>
                <w:tcPr>
                  <w:tcW w:w="2552" w:type="dxa"/>
                  <w:shd w:val="clear" w:color="auto" w:fill="auto"/>
                  <w:tcMar>
                    <w:top w:w="100" w:type="dxa"/>
                    <w:left w:w="100" w:type="dxa"/>
                    <w:bottom w:w="100" w:type="dxa"/>
                    <w:right w:w="100" w:type="dxa"/>
                  </w:tcMar>
                </w:tcPr>
                <w:p w14:paraId="1752E80B" w14:textId="77777777" w:rsidR="00D55C1E" w:rsidRDefault="00EB0A4E">
                  <w:pPr>
                    <w:widowControl w:val="0"/>
                    <w:spacing w:line="240" w:lineRule="auto"/>
                    <w:jc w:val="center"/>
                  </w:pPr>
                  <w:r>
                    <w:t>Graduation</w:t>
                  </w:r>
                </w:p>
                <w:p w14:paraId="629CB061" w14:textId="77777777" w:rsidR="00D55C1E" w:rsidRDefault="00EB0A4E">
                  <w:pPr>
                    <w:widowControl w:val="0"/>
                    <w:spacing w:line="240" w:lineRule="auto"/>
                    <w:jc w:val="center"/>
                  </w:pPr>
                  <w:r>
                    <w:t>Rate %</w:t>
                  </w:r>
                </w:p>
                <w:p w14:paraId="302776E5" w14:textId="77777777" w:rsidR="00D55C1E" w:rsidRDefault="00EB0A4E">
                  <w:pPr>
                    <w:widowControl w:val="0"/>
                    <w:spacing w:line="240" w:lineRule="auto"/>
                    <w:jc w:val="center"/>
                  </w:pPr>
                  <w:r>
                    <w:t>(1.5 Years)</w:t>
                  </w:r>
                </w:p>
              </w:tc>
            </w:tr>
            <w:tr w:rsidR="00D55C1E" w14:paraId="5EFF32EF" w14:textId="77777777">
              <w:tc>
                <w:tcPr>
                  <w:tcW w:w="2552" w:type="dxa"/>
                  <w:shd w:val="clear" w:color="auto" w:fill="auto"/>
                  <w:tcMar>
                    <w:top w:w="100" w:type="dxa"/>
                    <w:left w:w="100" w:type="dxa"/>
                    <w:bottom w:w="100" w:type="dxa"/>
                    <w:right w:w="100" w:type="dxa"/>
                  </w:tcMar>
                </w:tcPr>
                <w:p w14:paraId="74704350" w14:textId="77777777" w:rsidR="00D55C1E" w:rsidRDefault="00EB0A4E">
                  <w:pPr>
                    <w:widowControl w:val="0"/>
                    <w:pBdr>
                      <w:top w:val="nil"/>
                      <w:left w:val="nil"/>
                      <w:bottom w:val="nil"/>
                      <w:right w:val="nil"/>
                      <w:between w:val="nil"/>
                    </w:pBdr>
                    <w:spacing w:line="240" w:lineRule="auto"/>
                    <w:jc w:val="center"/>
                  </w:pPr>
                  <w:r>
                    <w:t>50</w:t>
                  </w:r>
                </w:p>
              </w:tc>
              <w:tc>
                <w:tcPr>
                  <w:tcW w:w="2552" w:type="dxa"/>
                  <w:shd w:val="clear" w:color="auto" w:fill="auto"/>
                  <w:tcMar>
                    <w:top w:w="100" w:type="dxa"/>
                    <w:left w:w="100" w:type="dxa"/>
                    <w:bottom w:w="100" w:type="dxa"/>
                    <w:right w:w="100" w:type="dxa"/>
                  </w:tcMar>
                </w:tcPr>
                <w:p w14:paraId="11D33BFE" w14:textId="77777777" w:rsidR="00D55C1E" w:rsidRDefault="00EB0A4E">
                  <w:pPr>
                    <w:widowControl w:val="0"/>
                    <w:pBdr>
                      <w:top w:val="nil"/>
                      <w:left w:val="nil"/>
                      <w:bottom w:val="nil"/>
                      <w:right w:val="nil"/>
                      <w:between w:val="nil"/>
                    </w:pBdr>
                    <w:spacing w:line="240" w:lineRule="auto"/>
                    <w:jc w:val="center"/>
                  </w:pPr>
                  <w:r>
                    <w:t>48</w:t>
                  </w:r>
                </w:p>
              </w:tc>
              <w:tc>
                <w:tcPr>
                  <w:tcW w:w="2552" w:type="dxa"/>
                  <w:shd w:val="clear" w:color="auto" w:fill="auto"/>
                  <w:tcMar>
                    <w:top w:w="100" w:type="dxa"/>
                    <w:left w:w="100" w:type="dxa"/>
                    <w:bottom w:w="100" w:type="dxa"/>
                    <w:right w:w="100" w:type="dxa"/>
                  </w:tcMar>
                </w:tcPr>
                <w:p w14:paraId="6FB13059" w14:textId="77777777" w:rsidR="00D55C1E" w:rsidRDefault="00EB0A4E">
                  <w:pPr>
                    <w:widowControl w:val="0"/>
                    <w:pBdr>
                      <w:top w:val="nil"/>
                      <w:left w:val="nil"/>
                      <w:bottom w:val="nil"/>
                      <w:right w:val="nil"/>
                      <w:between w:val="nil"/>
                    </w:pBdr>
                    <w:spacing w:line="240" w:lineRule="auto"/>
                    <w:jc w:val="center"/>
                  </w:pPr>
                  <w:r>
                    <w:t>2</w:t>
                  </w:r>
                </w:p>
              </w:tc>
              <w:tc>
                <w:tcPr>
                  <w:tcW w:w="2552" w:type="dxa"/>
                  <w:shd w:val="clear" w:color="auto" w:fill="auto"/>
                  <w:tcMar>
                    <w:top w:w="100" w:type="dxa"/>
                    <w:left w:w="100" w:type="dxa"/>
                    <w:bottom w:w="100" w:type="dxa"/>
                    <w:right w:w="100" w:type="dxa"/>
                  </w:tcMar>
                </w:tcPr>
                <w:p w14:paraId="7B98C58F" w14:textId="77777777" w:rsidR="00D55C1E" w:rsidRDefault="00EB0A4E">
                  <w:pPr>
                    <w:widowControl w:val="0"/>
                    <w:pBdr>
                      <w:top w:val="nil"/>
                      <w:left w:val="nil"/>
                      <w:bottom w:val="nil"/>
                      <w:right w:val="nil"/>
                      <w:between w:val="nil"/>
                    </w:pBdr>
                    <w:spacing w:line="240" w:lineRule="auto"/>
                    <w:jc w:val="center"/>
                  </w:pPr>
                  <w:r>
                    <w:t>96%</w:t>
                  </w:r>
                </w:p>
              </w:tc>
              <w:tc>
                <w:tcPr>
                  <w:tcW w:w="2552" w:type="dxa"/>
                  <w:shd w:val="clear" w:color="auto" w:fill="auto"/>
                  <w:tcMar>
                    <w:top w:w="100" w:type="dxa"/>
                    <w:left w:w="100" w:type="dxa"/>
                    <w:bottom w:w="100" w:type="dxa"/>
                    <w:right w:w="100" w:type="dxa"/>
                  </w:tcMar>
                </w:tcPr>
                <w:p w14:paraId="2EDFE920" w14:textId="77777777" w:rsidR="00D55C1E" w:rsidRDefault="00EB0A4E">
                  <w:pPr>
                    <w:widowControl w:val="0"/>
                    <w:pBdr>
                      <w:top w:val="nil"/>
                      <w:left w:val="nil"/>
                      <w:bottom w:val="nil"/>
                      <w:right w:val="nil"/>
                      <w:between w:val="nil"/>
                    </w:pBdr>
                    <w:spacing w:line="240" w:lineRule="auto"/>
                    <w:jc w:val="center"/>
                  </w:pPr>
                  <w:r>
                    <w:t>4%</w:t>
                  </w:r>
                </w:p>
              </w:tc>
            </w:tr>
          </w:tbl>
          <w:p w14:paraId="7F51F182" w14:textId="77777777" w:rsidR="00D55C1E" w:rsidRDefault="00D55C1E">
            <w:pPr>
              <w:jc w:val="center"/>
              <w:rPr>
                <w:rFonts w:ascii="Arial" w:eastAsia="Arial" w:hAnsi="Arial" w:cs="Arial"/>
                <w:sz w:val="22"/>
                <w:szCs w:val="22"/>
              </w:rPr>
            </w:pPr>
          </w:p>
          <w:p w14:paraId="05AAFDA5" w14:textId="77777777" w:rsidR="00D55C1E" w:rsidRDefault="00D55C1E">
            <w:pPr>
              <w:jc w:val="center"/>
              <w:rPr>
                <w:rFonts w:ascii="Arial" w:eastAsia="Arial" w:hAnsi="Arial" w:cs="Arial"/>
                <w:sz w:val="22"/>
                <w:szCs w:val="22"/>
              </w:rPr>
            </w:pPr>
          </w:p>
          <w:tbl>
            <w:tblPr>
              <w:tblStyle w:val="a7"/>
              <w:tblW w:w="127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52"/>
              <w:gridCol w:w="2552"/>
              <w:gridCol w:w="2552"/>
              <w:gridCol w:w="2552"/>
              <w:gridCol w:w="2552"/>
            </w:tblGrid>
            <w:tr w:rsidR="00D55C1E" w14:paraId="76D0B0DA" w14:textId="77777777">
              <w:trPr>
                <w:trHeight w:val="420"/>
              </w:trPr>
              <w:tc>
                <w:tcPr>
                  <w:tcW w:w="12760" w:type="dxa"/>
                  <w:gridSpan w:val="5"/>
                  <w:shd w:val="clear" w:color="auto" w:fill="FFF2CC"/>
                  <w:tcMar>
                    <w:top w:w="100" w:type="dxa"/>
                    <w:left w:w="100" w:type="dxa"/>
                    <w:bottom w:w="100" w:type="dxa"/>
                    <w:right w:w="100" w:type="dxa"/>
                  </w:tcMar>
                </w:tcPr>
                <w:p w14:paraId="0BD14856" w14:textId="77777777" w:rsidR="00D55C1E" w:rsidRDefault="00EB0A4E">
                  <w:pPr>
                    <w:widowControl w:val="0"/>
                    <w:pBdr>
                      <w:top w:val="nil"/>
                      <w:left w:val="nil"/>
                      <w:bottom w:val="nil"/>
                      <w:right w:val="nil"/>
                      <w:between w:val="nil"/>
                    </w:pBdr>
                    <w:spacing w:line="240" w:lineRule="auto"/>
                    <w:jc w:val="center"/>
                    <w:rPr>
                      <w:b/>
                      <w:shd w:val="clear" w:color="auto" w:fill="FFF2CC"/>
                    </w:rPr>
                  </w:pPr>
                  <w:r>
                    <w:rPr>
                      <w:b/>
                    </w:rPr>
                    <w:t>Graduate 2-Year Programs M.Ed. Teacher Education</w:t>
                  </w:r>
                </w:p>
              </w:tc>
            </w:tr>
            <w:tr w:rsidR="00D55C1E" w14:paraId="67F6D4FE" w14:textId="77777777">
              <w:tc>
                <w:tcPr>
                  <w:tcW w:w="2552" w:type="dxa"/>
                  <w:shd w:val="clear" w:color="auto" w:fill="auto"/>
                  <w:tcMar>
                    <w:top w:w="100" w:type="dxa"/>
                    <w:left w:w="100" w:type="dxa"/>
                    <w:bottom w:w="100" w:type="dxa"/>
                    <w:right w:w="100" w:type="dxa"/>
                  </w:tcMar>
                </w:tcPr>
                <w:p w14:paraId="3F1DA271" w14:textId="77777777" w:rsidR="00D55C1E" w:rsidRDefault="00EB0A4E">
                  <w:pPr>
                    <w:widowControl w:val="0"/>
                    <w:spacing w:line="240" w:lineRule="auto"/>
                    <w:jc w:val="center"/>
                  </w:pPr>
                  <w:r>
                    <w:t>Initial Cohort</w:t>
                  </w:r>
                </w:p>
              </w:tc>
              <w:tc>
                <w:tcPr>
                  <w:tcW w:w="2552" w:type="dxa"/>
                  <w:shd w:val="clear" w:color="auto" w:fill="auto"/>
                  <w:tcMar>
                    <w:top w:w="100" w:type="dxa"/>
                    <w:left w:w="100" w:type="dxa"/>
                    <w:bottom w:w="100" w:type="dxa"/>
                    <w:right w:w="100" w:type="dxa"/>
                  </w:tcMar>
                </w:tcPr>
                <w:p w14:paraId="6EED9DA4" w14:textId="77777777" w:rsidR="00D55C1E" w:rsidRDefault="00EB0A4E">
                  <w:pPr>
                    <w:widowControl w:val="0"/>
                    <w:spacing w:line="240" w:lineRule="auto"/>
                    <w:jc w:val="center"/>
                  </w:pPr>
                  <w:r>
                    <w:t>Graduated in</w:t>
                  </w:r>
                </w:p>
                <w:p w14:paraId="2CC59F8E" w14:textId="77777777" w:rsidR="00D55C1E" w:rsidRDefault="00EB0A4E">
                  <w:pPr>
                    <w:widowControl w:val="0"/>
                    <w:spacing w:line="240" w:lineRule="auto"/>
                    <w:jc w:val="center"/>
                  </w:pPr>
                  <w:r>
                    <w:t>100% time</w:t>
                  </w:r>
                </w:p>
                <w:p w14:paraId="3486D18B" w14:textId="77777777" w:rsidR="00D55C1E" w:rsidRDefault="00EB0A4E">
                  <w:pPr>
                    <w:widowControl w:val="0"/>
                    <w:spacing w:line="240" w:lineRule="auto"/>
                    <w:jc w:val="center"/>
                  </w:pPr>
                  <w:r>
                    <w:t>(2 years)</w:t>
                  </w:r>
                </w:p>
              </w:tc>
              <w:tc>
                <w:tcPr>
                  <w:tcW w:w="2552" w:type="dxa"/>
                  <w:shd w:val="clear" w:color="auto" w:fill="auto"/>
                  <w:tcMar>
                    <w:top w:w="100" w:type="dxa"/>
                    <w:left w:w="100" w:type="dxa"/>
                    <w:bottom w:w="100" w:type="dxa"/>
                    <w:right w:w="100" w:type="dxa"/>
                  </w:tcMar>
                </w:tcPr>
                <w:p w14:paraId="33219BDC" w14:textId="77777777" w:rsidR="00D55C1E" w:rsidRDefault="00EB0A4E">
                  <w:pPr>
                    <w:widowControl w:val="0"/>
                    <w:spacing w:line="240" w:lineRule="auto"/>
                    <w:jc w:val="center"/>
                  </w:pPr>
                  <w:r>
                    <w:t>Graduated in</w:t>
                  </w:r>
                </w:p>
                <w:p w14:paraId="2B652303" w14:textId="77777777" w:rsidR="00D55C1E" w:rsidRDefault="00EB0A4E">
                  <w:pPr>
                    <w:widowControl w:val="0"/>
                    <w:spacing w:line="240" w:lineRule="auto"/>
                    <w:jc w:val="center"/>
                  </w:pPr>
                  <w:r>
                    <w:t>150% time</w:t>
                  </w:r>
                </w:p>
                <w:p w14:paraId="61FCE6A1" w14:textId="77777777" w:rsidR="00D55C1E" w:rsidRDefault="00EB0A4E">
                  <w:pPr>
                    <w:widowControl w:val="0"/>
                    <w:spacing w:line="240" w:lineRule="auto"/>
                    <w:jc w:val="center"/>
                  </w:pPr>
                  <w:r>
                    <w:t>(3 years)</w:t>
                  </w:r>
                </w:p>
              </w:tc>
              <w:tc>
                <w:tcPr>
                  <w:tcW w:w="2552" w:type="dxa"/>
                  <w:shd w:val="clear" w:color="auto" w:fill="auto"/>
                  <w:tcMar>
                    <w:top w:w="100" w:type="dxa"/>
                    <w:left w:w="100" w:type="dxa"/>
                    <w:bottom w:w="100" w:type="dxa"/>
                    <w:right w:w="100" w:type="dxa"/>
                  </w:tcMar>
                </w:tcPr>
                <w:p w14:paraId="3E28A5B3" w14:textId="77777777" w:rsidR="00D55C1E" w:rsidRDefault="00EB0A4E">
                  <w:pPr>
                    <w:widowControl w:val="0"/>
                    <w:spacing w:line="240" w:lineRule="auto"/>
                    <w:jc w:val="center"/>
                  </w:pPr>
                  <w:r>
                    <w:t>Graduation</w:t>
                  </w:r>
                </w:p>
                <w:p w14:paraId="38699D7E" w14:textId="77777777" w:rsidR="00D55C1E" w:rsidRDefault="00EB0A4E">
                  <w:pPr>
                    <w:widowControl w:val="0"/>
                    <w:spacing w:line="240" w:lineRule="auto"/>
                    <w:jc w:val="center"/>
                  </w:pPr>
                  <w:r>
                    <w:t>Rate %</w:t>
                  </w:r>
                </w:p>
                <w:p w14:paraId="46CBBFF8" w14:textId="77777777" w:rsidR="00D55C1E" w:rsidRDefault="00EB0A4E">
                  <w:pPr>
                    <w:widowControl w:val="0"/>
                    <w:spacing w:line="240" w:lineRule="auto"/>
                    <w:jc w:val="center"/>
                  </w:pPr>
                  <w:r>
                    <w:t>(2 Years)</w:t>
                  </w:r>
                </w:p>
              </w:tc>
              <w:tc>
                <w:tcPr>
                  <w:tcW w:w="2552" w:type="dxa"/>
                  <w:shd w:val="clear" w:color="auto" w:fill="auto"/>
                  <w:tcMar>
                    <w:top w:w="100" w:type="dxa"/>
                    <w:left w:w="100" w:type="dxa"/>
                    <w:bottom w:w="100" w:type="dxa"/>
                    <w:right w:w="100" w:type="dxa"/>
                  </w:tcMar>
                </w:tcPr>
                <w:p w14:paraId="119054BA" w14:textId="77777777" w:rsidR="00D55C1E" w:rsidRDefault="00EB0A4E">
                  <w:pPr>
                    <w:widowControl w:val="0"/>
                    <w:spacing w:line="240" w:lineRule="auto"/>
                    <w:jc w:val="center"/>
                  </w:pPr>
                  <w:r>
                    <w:t>Graduation</w:t>
                  </w:r>
                </w:p>
                <w:p w14:paraId="690F2FEC" w14:textId="77777777" w:rsidR="00D55C1E" w:rsidRDefault="00EB0A4E">
                  <w:pPr>
                    <w:widowControl w:val="0"/>
                    <w:spacing w:line="240" w:lineRule="auto"/>
                    <w:jc w:val="center"/>
                  </w:pPr>
                  <w:r>
                    <w:t>Rate %</w:t>
                  </w:r>
                </w:p>
                <w:p w14:paraId="06AE4E19" w14:textId="77777777" w:rsidR="00D55C1E" w:rsidRDefault="00EB0A4E">
                  <w:pPr>
                    <w:widowControl w:val="0"/>
                    <w:spacing w:line="240" w:lineRule="auto"/>
                    <w:jc w:val="center"/>
                  </w:pPr>
                  <w:r>
                    <w:t>(3 Years)</w:t>
                  </w:r>
                </w:p>
              </w:tc>
            </w:tr>
            <w:tr w:rsidR="00D55C1E" w14:paraId="4BA067DA" w14:textId="77777777">
              <w:tc>
                <w:tcPr>
                  <w:tcW w:w="2552" w:type="dxa"/>
                  <w:shd w:val="clear" w:color="auto" w:fill="auto"/>
                  <w:tcMar>
                    <w:top w:w="100" w:type="dxa"/>
                    <w:left w:w="100" w:type="dxa"/>
                    <w:bottom w:w="100" w:type="dxa"/>
                    <w:right w:w="100" w:type="dxa"/>
                  </w:tcMar>
                </w:tcPr>
                <w:p w14:paraId="03561228" w14:textId="77777777" w:rsidR="00D55C1E" w:rsidRDefault="00EB0A4E">
                  <w:pPr>
                    <w:widowControl w:val="0"/>
                    <w:pBdr>
                      <w:top w:val="nil"/>
                      <w:left w:val="nil"/>
                      <w:bottom w:val="nil"/>
                      <w:right w:val="nil"/>
                      <w:between w:val="nil"/>
                    </w:pBdr>
                    <w:spacing w:line="240" w:lineRule="auto"/>
                    <w:jc w:val="center"/>
                  </w:pPr>
                  <w:r>
                    <w:t>20</w:t>
                  </w:r>
                </w:p>
              </w:tc>
              <w:tc>
                <w:tcPr>
                  <w:tcW w:w="2552" w:type="dxa"/>
                  <w:shd w:val="clear" w:color="auto" w:fill="auto"/>
                  <w:tcMar>
                    <w:top w:w="100" w:type="dxa"/>
                    <w:left w:w="100" w:type="dxa"/>
                    <w:bottom w:w="100" w:type="dxa"/>
                    <w:right w:w="100" w:type="dxa"/>
                  </w:tcMar>
                </w:tcPr>
                <w:p w14:paraId="18034201" w14:textId="77777777" w:rsidR="00D55C1E" w:rsidRDefault="00EB0A4E">
                  <w:pPr>
                    <w:widowControl w:val="0"/>
                    <w:pBdr>
                      <w:top w:val="nil"/>
                      <w:left w:val="nil"/>
                      <w:bottom w:val="nil"/>
                      <w:right w:val="nil"/>
                      <w:between w:val="nil"/>
                    </w:pBdr>
                    <w:spacing w:line="240" w:lineRule="auto"/>
                    <w:jc w:val="center"/>
                  </w:pPr>
                  <w:r>
                    <w:t>15</w:t>
                  </w:r>
                </w:p>
              </w:tc>
              <w:tc>
                <w:tcPr>
                  <w:tcW w:w="2552" w:type="dxa"/>
                  <w:shd w:val="clear" w:color="auto" w:fill="auto"/>
                  <w:tcMar>
                    <w:top w:w="100" w:type="dxa"/>
                    <w:left w:w="100" w:type="dxa"/>
                    <w:bottom w:w="100" w:type="dxa"/>
                    <w:right w:w="100" w:type="dxa"/>
                  </w:tcMar>
                </w:tcPr>
                <w:p w14:paraId="5007E00D" w14:textId="77777777" w:rsidR="00D55C1E" w:rsidRDefault="00EB0A4E">
                  <w:pPr>
                    <w:widowControl w:val="0"/>
                    <w:pBdr>
                      <w:top w:val="nil"/>
                      <w:left w:val="nil"/>
                      <w:bottom w:val="nil"/>
                      <w:right w:val="nil"/>
                      <w:between w:val="nil"/>
                    </w:pBdr>
                    <w:spacing w:line="240" w:lineRule="auto"/>
                    <w:jc w:val="center"/>
                  </w:pPr>
                  <w:r>
                    <w:t>5</w:t>
                  </w:r>
                </w:p>
              </w:tc>
              <w:tc>
                <w:tcPr>
                  <w:tcW w:w="2552" w:type="dxa"/>
                  <w:shd w:val="clear" w:color="auto" w:fill="auto"/>
                  <w:tcMar>
                    <w:top w:w="100" w:type="dxa"/>
                    <w:left w:w="100" w:type="dxa"/>
                    <w:bottom w:w="100" w:type="dxa"/>
                    <w:right w:w="100" w:type="dxa"/>
                  </w:tcMar>
                </w:tcPr>
                <w:p w14:paraId="592B3BB2" w14:textId="77777777" w:rsidR="00D55C1E" w:rsidRDefault="00EB0A4E">
                  <w:pPr>
                    <w:widowControl w:val="0"/>
                    <w:pBdr>
                      <w:top w:val="nil"/>
                      <w:left w:val="nil"/>
                      <w:bottom w:val="nil"/>
                      <w:right w:val="nil"/>
                      <w:between w:val="nil"/>
                    </w:pBdr>
                    <w:spacing w:line="240" w:lineRule="auto"/>
                    <w:jc w:val="center"/>
                  </w:pPr>
                  <w:r>
                    <w:t>75%</w:t>
                  </w:r>
                </w:p>
              </w:tc>
              <w:tc>
                <w:tcPr>
                  <w:tcW w:w="2552" w:type="dxa"/>
                  <w:shd w:val="clear" w:color="auto" w:fill="auto"/>
                  <w:tcMar>
                    <w:top w:w="100" w:type="dxa"/>
                    <w:left w:w="100" w:type="dxa"/>
                    <w:bottom w:w="100" w:type="dxa"/>
                    <w:right w:w="100" w:type="dxa"/>
                  </w:tcMar>
                </w:tcPr>
                <w:p w14:paraId="6A9E07DC" w14:textId="77777777" w:rsidR="00D55C1E" w:rsidRDefault="00EB0A4E">
                  <w:pPr>
                    <w:widowControl w:val="0"/>
                    <w:pBdr>
                      <w:top w:val="nil"/>
                      <w:left w:val="nil"/>
                      <w:bottom w:val="nil"/>
                      <w:right w:val="nil"/>
                      <w:between w:val="nil"/>
                    </w:pBdr>
                    <w:spacing w:line="240" w:lineRule="auto"/>
                    <w:jc w:val="center"/>
                  </w:pPr>
                  <w:r>
                    <w:t>25%</w:t>
                  </w:r>
                </w:p>
              </w:tc>
            </w:tr>
          </w:tbl>
          <w:p w14:paraId="63BCE35F" w14:textId="77777777" w:rsidR="00D55C1E" w:rsidRDefault="00D55C1E">
            <w:pPr>
              <w:rPr>
                <w:rFonts w:ascii="Arial" w:eastAsia="Arial" w:hAnsi="Arial" w:cs="Arial"/>
                <w:sz w:val="22"/>
                <w:szCs w:val="22"/>
              </w:rPr>
            </w:pPr>
          </w:p>
          <w:p w14:paraId="606B90CC" w14:textId="77777777" w:rsidR="00D55C1E" w:rsidRDefault="00D55C1E">
            <w:pPr>
              <w:rPr>
                <w:rFonts w:ascii="Arial" w:eastAsia="Arial" w:hAnsi="Arial" w:cs="Arial"/>
                <w:sz w:val="22"/>
                <w:szCs w:val="22"/>
              </w:rPr>
            </w:pPr>
          </w:p>
        </w:tc>
      </w:tr>
      <w:tr w:rsidR="00D55C1E" w14:paraId="0F99B7B0" w14:textId="77777777">
        <w:trPr>
          <w:trHeight w:val="420"/>
        </w:trPr>
        <w:tc>
          <w:tcPr>
            <w:tcW w:w="12960" w:type="dxa"/>
            <w:shd w:val="clear" w:color="auto" w:fill="FFFFFF"/>
          </w:tcPr>
          <w:p w14:paraId="7A6F0181" w14:textId="77777777" w:rsidR="00D55C1E" w:rsidRDefault="00EB0A4E">
            <w:pPr>
              <w:keepNext/>
              <w:ind w:left="245" w:hanging="245"/>
              <w:rPr>
                <w:rFonts w:ascii="Arial" w:eastAsia="Arial" w:hAnsi="Arial" w:cs="Arial"/>
                <w:sz w:val="22"/>
                <w:szCs w:val="22"/>
              </w:rPr>
            </w:pPr>
            <w:r>
              <w:rPr>
                <w:rFonts w:ascii="Arial" w:eastAsia="Arial" w:hAnsi="Arial" w:cs="Arial"/>
                <w:sz w:val="22"/>
                <w:szCs w:val="22"/>
              </w:rPr>
              <w:lastRenderedPageBreak/>
              <w:t xml:space="preserve">E. </w:t>
            </w:r>
            <w:r>
              <w:rPr>
                <w:rFonts w:ascii="Arial" w:eastAsia="Arial" w:hAnsi="Arial" w:cs="Arial"/>
                <w:b/>
                <w:sz w:val="22"/>
                <w:szCs w:val="22"/>
              </w:rPr>
              <w:t>Summary of state license examination results</w:t>
            </w:r>
            <w:r>
              <w:rPr>
                <w:rFonts w:ascii="Arial" w:eastAsia="Arial" w:hAnsi="Arial" w:cs="Arial"/>
                <w:sz w:val="22"/>
                <w:szCs w:val="22"/>
              </w:rPr>
              <w:t>, including teacher performance assessments, and specification of any examinations on which the pass rate (cumulative at time of reporting) was below 80%.</w:t>
            </w:r>
          </w:p>
        </w:tc>
      </w:tr>
      <w:tr w:rsidR="00D55C1E" w14:paraId="0C47EF06" w14:textId="77777777">
        <w:trPr>
          <w:trHeight w:val="21"/>
        </w:trPr>
        <w:tc>
          <w:tcPr>
            <w:tcW w:w="12960" w:type="dxa"/>
            <w:shd w:val="clear" w:color="auto" w:fill="D0E0E3"/>
          </w:tcPr>
          <w:p w14:paraId="17289E27" w14:textId="77777777" w:rsidR="00D55C1E" w:rsidRDefault="00EB0A4E">
            <w:pPr>
              <w:rPr>
                <w:rFonts w:ascii="Arial" w:eastAsia="Arial" w:hAnsi="Arial" w:cs="Arial"/>
                <w:sz w:val="22"/>
                <w:szCs w:val="22"/>
              </w:rPr>
            </w:pPr>
            <w:r>
              <w:rPr>
                <w:rFonts w:ascii="Arial" w:eastAsia="Arial" w:hAnsi="Arial" w:cs="Arial"/>
                <w:sz w:val="22"/>
                <w:szCs w:val="22"/>
              </w:rPr>
              <w:t xml:space="preserve">All students completed Praxis Core or an equivalent state-approved basic skills substitute (3.0 GPA, SAT., ACT, and GRE) as a graduation requirement. In addition, students must pass Praxis II content exams and complete the </w:t>
            </w:r>
            <w:proofErr w:type="spellStart"/>
            <w:r>
              <w:rPr>
                <w:rFonts w:ascii="Arial" w:eastAsia="Arial" w:hAnsi="Arial" w:cs="Arial"/>
                <w:sz w:val="22"/>
                <w:szCs w:val="22"/>
              </w:rPr>
              <w:t>edTPA</w:t>
            </w:r>
            <w:proofErr w:type="spellEnd"/>
            <w:r>
              <w:rPr>
                <w:rFonts w:ascii="Arial" w:eastAsia="Arial" w:hAnsi="Arial" w:cs="Arial"/>
                <w:sz w:val="22"/>
                <w:szCs w:val="22"/>
              </w:rPr>
              <w:t xml:space="preserve"> (also utilized as an exit portfolio). Therefore, all students passed above 80%.</w:t>
            </w:r>
          </w:p>
        </w:tc>
      </w:tr>
      <w:tr w:rsidR="00D55C1E" w14:paraId="07329E41" w14:textId="77777777">
        <w:trPr>
          <w:trHeight w:val="79"/>
        </w:trPr>
        <w:tc>
          <w:tcPr>
            <w:tcW w:w="12960" w:type="dxa"/>
            <w:shd w:val="clear" w:color="auto" w:fill="FFFFFF"/>
          </w:tcPr>
          <w:p w14:paraId="3EA97D24" w14:textId="77777777" w:rsidR="00D55C1E" w:rsidRDefault="00EB0A4E">
            <w:pPr>
              <w:keepNext/>
              <w:ind w:left="245" w:hanging="245"/>
              <w:rPr>
                <w:rFonts w:ascii="Arial" w:eastAsia="Arial" w:hAnsi="Arial" w:cs="Arial"/>
                <w:sz w:val="22"/>
                <w:szCs w:val="22"/>
              </w:rPr>
            </w:pPr>
            <w:r>
              <w:rPr>
                <w:rFonts w:ascii="Arial" w:eastAsia="Arial" w:hAnsi="Arial" w:cs="Arial"/>
                <w:sz w:val="22"/>
                <w:szCs w:val="22"/>
              </w:rPr>
              <w:t>F. Narrative explanation of</w:t>
            </w:r>
            <w:r>
              <w:rPr>
                <w:rFonts w:ascii="Arial" w:eastAsia="Arial" w:hAnsi="Arial" w:cs="Arial"/>
                <w:b/>
                <w:sz w:val="22"/>
                <w:szCs w:val="22"/>
              </w:rPr>
              <w:t xml:space="preserve"> evidence available from program completers</w:t>
            </w:r>
            <w:r>
              <w:rPr>
                <w:rFonts w:ascii="Arial" w:eastAsia="Arial" w:hAnsi="Arial" w:cs="Arial"/>
                <w:sz w:val="22"/>
                <w:szCs w:val="22"/>
              </w:rPr>
              <w:t xml:space="preserve">, with a characterization of findings. </w:t>
            </w:r>
          </w:p>
        </w:tc>
      </w:tr>
      <w:tr w:rsidR="00D55C1E" w14:paraId="306C877E" w14:textId="77777777">
        <w:trPr>
          <w:trHeight w:val="21"/>
        </w:trPr>
        <w:tc>
          <w:tcPr>
            <w:tcW w:w="12960" w:type="dxa"/>
            <w:shd w:val="clear" w:color="auto" w:fill="D0E0E3"/>
          </w:tcPr>
          <w:p w14:paraId="3BEDE4BA" w14:textId="77777777" w:rsidR="00D55C1E" w:rsidRDefault="00EB0A4E">
            <w:pPr>
              <w:rPr>
                <w:rFonts w:ascii="Arial" w:eastAsia="Arial" w:hAnsi="Arial" w:cs="Arial"/>
                <w:sz w:val="22"/>
                <w:szCs w:val="22"/>
              </w:rPr>
            </w:pPr>
            <w:r>
              <w:rPr>
                <w:rFonts w:ascii="Arial" w:eastAsia="Arial" w:hAnsi="Arial" w:cs="Arial"/>
                <w:sz w:val="22"/>
                <w:szCs w:val="22"/>
              </w:rPr>
              <w:t xml:space="preserve">Program completers indicated strengths in the practical and professional preparation provided, including internships that directly apply learned skills in real classroom settings. The support during critical assessments like Praxis and </w:t>
            </w:r>
            <w:proofErr w:type="spellStart"/>
            <w:r>
              <w:rPr>
                <w:rFonts w:ascii="Arial" w:eastAsia="Arial" w:hAnsi="Arial" w:cs="Arial"/>
                <w:sz w:val="22"/>
                <w:szCs w:val="22"/>
              </w:rPr>
              <w:t>edTPA</w:t>
            </w:r>
            <w:proofErr w:type="spellEnd"/>
            <w:r>
              <w:rPr>
                <w:rFonts w:ascii="Arial" w:eastAsia="Arial" w:hAnsi="Arial" w:cs="Arial"/>
                <w:sz w:val="22"/>
                <w:szCs w:val="22"/>
              </w:rPr>
              <w:t xml:space="preserve"> and the program's ability to offer guaranteed opportunities and internships are highlighted. The community and communication within the program </w:t>
            </w:r>
            <w:r w:rsidR="00FE6CBA">
              <w:rPr>
                <w:rFonts w:ascii="Arial" w:eastAsia="Arial" w:hAnsi="Arial" w:cs="Arial"/>
                <w:sz w:val="22"/>
                <w:szCs w:val="22"/>
              </w:rPr>
              <w:t>receive</w:t>
            </w:r>
            <w:r>
              <w:rPr>
                <w:rFonts w:ascii="Arial" w:eastAsia="Arial" w:hAnsi="Arial" w:cs="Arial"/>
                <w:sz w:val="22"/>
                <w:szCs w:val="22"/>
              </w:rPr>
              <w:t xml:space="preserve"> </w:t>
            </w:r>
            <w:r w:rsidR="00FE6CBA">
              <w:rPr>
                <w:rFonts w:ascii="Arial" w:eastAsia="Arial" w:hAnsi="Arial" w:cs="Arial"/>
                <w:sz w:val="22"/>
                <w:szCs w:val="22"/>
              </w:rPr>
              <w:t>praise for</w:t>
            </w:r>
            <w:r>
              <w:rPr>
                <w:rFonts w:ascii="Arial" w:eastAsia="Arial" w:hAnsi="Arial" w:cs="Arial"/>
                <w:sz w:val="22"/>
                <w:szCs w:val="22"/>
              </w:rPr>
              <w:t xml:space="preserve"> fostering a supportive and inclusive learning environment. The curriculum is appreciated for its relevance, addressing essential topics and aligning with classroom experiences. Additionally, the cohort model, supportive professors, and mentorship contribute positively to the overall success of the programs. The exposure to research, focus on pedagogy, and emphasis on real-world teaching aspects are mentioned as further program strengths.  Students expressed the need for enhanced attention and resources in social studies and science pedagogy, along with increased support for ESOL and education technology.  Additionally, students emphasized the need for continued mental health support and improved program communication around expectations, deadlines, and financial support.</w:t>
            </w:r>
          </w:p>
        </w:tc>
      </w:tr>
      <w:tr w:rsidR="00D55C1E" w14:paraId="06126BF5" w14:textId="77777777">
        <w:trPr>
          <w:trHeight w:val="160"/>
        </w:trPr>
        <w:tc>
          <w:tcPr>
            <w:tcW w:w="12960" w:type="dxa"/>
            <w:shd w:val="clear" w:color="auto" w:fill="FFFFFF"/>
          </w:tcPr>
          <w:p w14:paraId="4E96B108" w14:textId="77777777" w:rsidR="00D55C1E" w:rsidRDefault="00EB0A4E">
            <w:pPr>
              <w:keepNext/>
              <w:ind w:left="245" w:hanging="245"/>
              <w:rPr>
                <w:rFonts w:ascii="Arial" w:eastAsia="Arial" w:hAnsi="Arial" w:cs="Arial"/>
                <w:sz w:val="22"/>
                <w:szCs w:val="22"/>
              </w:rPr>
            </w:pPr>
            <w:r>
              <w:rPr>
                <w:rFonts w:ascii="Arial" w:eastAsia="Arial" w:hAnsi="Arial" w:cs="Arial"/>
                <w:sz w:val="22"/>
                <w:szCs w:val="22"/>
              </w:rPr>
              <w:t xml:space="preserve">G. Narrative explanation of </w:t>
            </w:r>
            <w:r>
              <w:rPr>
                <w:rFonts w:ascii="Arial" w:eastAsia="Arial" w:hAnsi="Arial" w:cs="Arial"/>
                <w:b/>
                <w:sz w:val="22"/>
                <w:szCs w:val="22"/>
              </w:rPr>
              <w:t>evidence available from employers of program completers</w:t>
            </w:r>
            <w:r>
              <w:rPr>
                <w:rFonts w:ascii="Arial" w:eastAsia="Arial" w:hAnsi="Arial" w:cs="Arial"/>
                <w:sz w:val="22"/>
                <w:szCs w:val="22"/>
              </w:rPr>
              <w:t xml:space="preserve">, with a characterization of findings. </w:t>
            </w:r>
          </w:p>
        </w:tc>
      </w:tr>
      <w:tr w:rsidR="00D55C1E" w14:paraId="03D68A46" w14:textId="77777777">
        <w:trPr>
          <w:trHeight w:val="21"/>
        </w:trPr>
        <w:tc>
          <w:tcPr>
            <w:tcW w:w="12960" w:type="dxa"/>
            <w:shd w:val="clear" w:color="auto" w:fill="D0E0E3"/>
          </w:tcPr>
          <w:p w14:paraId="0BC446A3" w14:textId="77777777" w:rsidR="00D55C1E" w:rsidRDefault="00EB0A4E">
            <w:pPr>
              <w:rPr>
                <w:rFonts w:ascii="Arial" w:eastAsia="Arial" w:hAnsi="Arial" w:cs="Arial"/>
                <w:sz w:val="22"/>
                <w:szCs w:val="22"/>
              </w:rPr>
            </w:pPr>
            <w:r>
              <w:rPr>
                <w:rFonts w:ascii="Arial" w:eastAsia="Arial" w:hAnsi="Arial" w:cs="Arial"/>
                <w:sz w:val="22"/>
                <w:szCs w:val="22"/>
              </w:rPr>
              <w:t>The College of Education cannot disseminate the Teacher Education Employer survey because the districts will not permit it.  The College has made progress in developing formal data-sharing agreements with our district partners, which we hope to culminate with the restoration of the Teacher Education Employer Survey.</w:t>
            </w:r>
          </w:p>
        </w:tc>
      </w:tr>
      <w:tr w:rsidR="00D55C1E" w14:paraId="4177DB4C" w14:textId="77777777">
        <w:trPr>
          <w:trHeight w:val="21"/>
        </w:trPr>
        <w:tc>
          <w:tcPr>
            <w:tcW w:w="12960" w:type="dxa"/>
            <w:shd w:val="clear" w:color="auto" w:fill="FFFFFF"/>
          </w:tcPr>
          <w:p w14:paraId="5883559A" w14:textId="77777777" w:rsidR="00D55C1E" w:rsidRDefault="00EB0A4E">
            <w:pPr>
              <w:keepNext/>
              <w:ind w:left="245" w:hanging="245"/>
              <w:rPr>
                <w:rFonts w:ascii="Arial" w:eastAsia="Arial" w:hAnsi="Arial" w:cs="Arial"/>
                <w:sz w:val="22"/>
                <w:szCs w:val="22"/>
              </w:rPr>
            </w:pPr>
            <w:r>
              <w:rPr>
                <w:rFonts w:ascii="Arial" w:eastAsia="Arial" w:hAnsi="Arial" w:cs="Arial"/>
                <w:sz w:val="22"/>
                <w:szCs w:val="22"/>
              </w:rPr>
              <w:t xml:space="preserve">H. Narrative explanation of how the program investigates </w:t>
            </w:r>
            <w:r>
              <w:rPr>
                <w:rFonts w:ascii="Arial" w:eastAsia="Arial" w:hAnsi="Arial" w:cs="Arial"/>
                <w:b/>
                <w:sz w:val="22"/>
                <w:szCs w:val="22"/>
              </w:rPr>
              <w:t>employment rates for program completers</w:t>
            </w:r>
            <w:r>
              <w:rPr>
                <w:rFonts w:ascii="Arial" w:eastAsia="Arial" w:hAnsi="Arial" w:cs="Arial"/>
                <w:sz w:val="22"/>
                <w:szCs w:val="22"/>
              </w:rPr>
              <w:t>, with a characterization of findings. This section may also indicate rates of completers’ ongoing education, e.g., graduate study.</w:t>
            </w:r>
          </w:p>
        </w:tc>
      </w:tr>
      <w:tr w:rsidR="00D55C1E" w14:paraId="5576616E" w14:textId="77777777">
        <w:trPr>
          <w:trHeight w:val="21"/>
        </w:trPr>
        <w:tc>
          <w:tcPr>
            <w:tcW w:w="12960" w:type="dxa"/>
            <w:shd w:val="clear" w:color="auto" w:fill="D0E0E3"/>
          </w:tcPr>
          <w:p w14:paraId="2E24D118" w14:textId="77777777" w:rsidR="00D55C1E" w:rsidRDefault="00EB0A4E">
            <w:pPr>
              <w:rPr>
                <w:rFonts w:ascii="Arial" w:eastAsia="Arial" w:hAnsi="Arial" w:cs="Arial"/>
                <w:sz w:val="22"/>
                <w:szCs w:val="22"/>
              </w:rPr>
            </w:pPr>
            <w:r>
              <w:rPr>
                <w:rFonts w:ascii="Arial" w:eastAsia="Arial" w:hAnsi="Arial" w:cs="Arial"/>
                <w:sz w:val="22"/>
                <w:szCs w:val="22"/>
              </w:rPr>
              <w:t xml:space="preserve">Usually, we receive information from a state agency to complete the annual Traditional Program Annual Report (TPAR) by postsecondary institutions, which contains employment rates and data. Unfortunately, the organization did not disseminate the information this year. </w:t>
            </w:r>
          </w:p>
        </w:tc>
      </w:tr>
    </w:tbl>
    <w:p w14:paraId="39849F63" w14:textId="77777777" w:rsidR="00D55C1E" w:rsidRDefault="00D55C1E"/>
    <w:p w14:paraId="2FE37E6B" w14:textId="77777777" w:rsidR="00D55C1E" w:rsidRDefault="00EB0A4E">
      <w:pPr>
        <w:keepNext/>
        <w:keepLines/>
        <w:numPr>
          <w:ilvl w:val="0"/>
          <w:numId w:val="6"/>
        </w:numPr>
        <w:spacing w:before="120" w:after="120"/>
        <w:ind w:left="360"/>
        <w:rPr>
          <w:b/>
        </w:rPr>
      </w:pPr>
      <w:r>
        <w:rPr>
          <w:b/>
          <w:sz w:val="28"/>
          <w:szCs w:val="28"/>
        </w:rPr>
        <w:t>Candidate Academic Performance Indicators</w:t>
      </w:r>
    </w:p>
    <w:p w14:paraId="4575A676" w14:textId="77777777" w:rsidR="00D55C1E" w:rsidRDefault="00EB0A4E">
      <w:pPr>
        <w:keepLines/>
      </w:pPr>
      <w:r>
        <w:t xml:space="preserve">Tables 3 and 4 report on select measures of candidate/completer performance related to AAQEP Standards 1 and 2, including the program’s expectations for successful performance and indicators of the degree to which those expectations are met. </w:t>
      </w:r>
    </w:p>
    <w:p w14:paraId="4D7FE3AB" w14:textId="77777777" w:rsidR="00D55C1E" w:rsidRDefault="00EB0A4E">
      <w:pPr>
        <w:keepNext/>
        <w:keepLines/>
        <w:spacing w:before="200" w:after="120"/>
        <w:rPr>
          <w:b/>
        </w:rPr>
      </w:pPr>
      <w:r>
        <w:rPr>
          <w:b/>
        </w:rPr>
        <w:lastRenderedPageBreak/>
        <w:t>Table 3. Expectations and Performance on Standard 1: Candidate and Completer Performance</w:t>
      </w:r>
    </w:p>
    <w:tbl>
      <w:tblPr>
        <w:tblStyle w:val="a8"/>
        <w:tblW w:w="1295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8"/>
        <w:gridCol w:w="4318"/>
        <w:gridCol w:w="4319"/>
      </w:tblGrid>
      <w:tr w:rsidR="00D55C1E" w14:paraId="78E6F64D" w14:textId="77777777">
        <w:trPr>
          <w:trHeight w:val="420"/>
        </w:trPr>
        <w:tc>
          <w:tcPr>
            <w:tcW w:w="4318" w:type="dxa"/>
            <w:shd w:val="clear" w:color="auto" w:fill="FFFFFF"/>
          </w:tcPr>
          <w:p w14:paraId="3E4DF90E" w14:textId="77777777" w:rsidR="00D55C1E" w:rsidRDefault="00EB0A4E">
            <w:pPr>
              <w:keepNext/>
              <w:keepLines/>
              <w:rPr>
                <w:rFonts w:ascii="Arial" w:eastAsia="Arial" w:hAnsi="Arial" w:cs="Arial"/>
                <w:b/>
                <w:sz w:val="22"/>
                <w:szCs w:val="22"/>
              </w:rPr>
            </w:pPr>
            <w:r>
              <w:rPr>
                <w:rFonts w:ascii="Arial" w:eastAsia="Arial" w:hAnsi="Arial" w:cs="Arial"/>
                <w:b/>
                <w:sz w:val="22"/>
                <w:szCs w:val="22"/>
              </w:rPr>
              <w:t>Provider-Selected Measures</w:t>
            </w:r>
          </w:p>
        </w:tc>
        <w:tc>
          <w:tcPr>
            <w:tcW w:w="4318" w:type="dxa"/>
            <w:shd w:val="clear" w:color="auto" w:fill="FFFFFF"/>
          </w:tcPr>
          <w:p w14:paraId="50585112" w14:textId="77777777" w:rsidR="00D55C1E" w:rsidRDefault="00EB0A4E">
            <w:pPr>
              <w:keepNext/>
              <w:keepLines/>
              <w:rPr>
                <w:rFonts w:ascii="Arial" w:eastAsia="Arial" w:hAnsi="Arial" w:cs="Arial"/>
                <w:b/>
                <w:sz w:val="22"/>
                <w:szCs w:val="22"/>
              </w:rPr>
            </w:pPr>
            <w:r>
              <w:rPr>
                <w:rFonts w:ascii="Arial" w:eastAsia="Arial" w:hAnsi="Arial" w:cs="Arial"/>
                <w:b/>
                <w:sz w:val="22"/>
                <w:szCs w:val="22"/>
              </w:rPr>
              <w:t>Explanation of Performance Expectation</w:t>
            </w:r>
          </w:p>
        </w:tc>
        <w:tc>
          <w:tcPr>
            <w:tcW w:w="4319" w:type="dxa"/>
            <w:shd w:val="clear" w:color="auto" w:fill="FFFFFF"/>
          </w:tcPr>
          <w:p w14:paraId="672B0836" w14:textId="77777777" w:rsidR="00D55C1E" w:rsidRDefault="00EB0A4E">
            <w:pPr>
              <w:keepNext/>
              <w:keepLines/>
              <w:rPr>
                <w:rFonts w:ascii="Arial" w:eastAsia="Arial" w:hAnsi="Arial" w:cs="Arial"/>
                <w:b/>
                <w:sz w:val="22"/>
                <w:szCs w:val="22"/>
              </w:rPr>
            </w:pPr>
            <w:r>
              <w:rPr>
                <w:rFonts w:ascii="Arial" w:eastAsia="Arial" w:hAnsi="Arial" w:cs="Arial"/>
                <w:b/>
                <w:sz w:val="22"/>
                <w:szCs w:val="22"/>
              </w:rPr>
              <w:t>Level or Extent of Success in Meeting the Expectation</w:t>
            </w:r>
          </w:p>
        </w:tc>
      </w:tr>
      <w:tr w:rsidR="00D55C1E" w14:paraId="60CA4BFC" w14:textId="77777777">
        <w:trPr>
          <w:trHeight w:val="21"/>
        </w:trPr>
        <w:tc>
          <w:tcPr>
            <w:tcW w:w="4318" w:type="dxa"/>
            <w:shd w:val="clear" w:color="auto" w:fill="D0E0E3"/>
          </w:tcPr>
          <w:p w14:paraId="4F83DD62" w14:textId="77777777" w:rsidR="00D55C1E" w:rsidRDefault="00EB0A4E">
            <w:pPr>
              <w:keepLines/>
              <w:rPr>
                <w:rFonts w:ascii="Arial" w:eastAsia="Arial" w:hAnsi="Arial" w:cs="Arial"/>
                <w:sz w:val="22"/>
                <w:szCs w:val="22"/>
              </w:rPr>
            </w:pPr>
            <w:r>
              <w:rPr>
                <w:rFonts w:ascii="Arial" w:eastAsia="Arial" w:hAnsi="Arial" w:cs="Arial"/>
                <w:sz w:val="22"/>
                <w:szCs w:val="22"/>
              </w:rPr>
              <w:t>Performance-Based Assessment (PBA)</w:t>
            </w:r>
          </w:p>
        </w:tc>
        <w:tc>
          <w:tcPr>
            <w:tcW w:w="4318" w:type="dxa"/>
            <w:shd w:val="clear" w:color="auto" w:fill="D0E0E3"/>
          </w:tcPr>
          <w:p w14:paraId="10D0EAB8" w14:textId="77777777" w:rsidR="00D55C1E" w:rsidRDefault="00EB0A4E">
            <w:pPr>
              <w:rPr>
                <w:rFonts w:ascii="Arial" w:eastAsia="Arial" w:hAnsi="Arial" w:cs="Arial"/>
                <w:color w:val="0E101A"/>
                <w:sz w:val="22"/>
                <w:szCs w:val="22"/>
              </w:rPr>
            </w:pPr>
            <w:r>
              <w:rPr>
                <w:rFonts w:ascii="Arial" w:eastAsia="Arial" w:hAnsi="Arial" w:cs="Arial"/>
                <w:color w:val="0E101A"/>
                <w:sz w:val="22"/>
                <w:szCs w:val="22"/>
              </w:rPr>
              <w:t>The Performance-Based Assessment (PBA) measures candidate proficiency on key program competencies during the yearlong capstone internship.</w:t>
            </w:r>
          </w:p>
          <w:p w14:paraId="39C960D2" w14:textId="77777777" w:rsidR="00D55C1E" w:rsidRDefault="00D55C1E">
            <w:pPr>
              <w:rPr>
                <w:rFonts w:ascii="Arial" w:eastAsia="Arial" w:hAnsi="Arial" w:cs="Arial"/>
                <w:color w:val="0E101A"/>
                <w:sz w:val="22"/>
                <w:szCs w:val="22"/>
              </w:rPr>
            </w:pPr>
          </w:p>
          <w:p w14:paraId="7D94392B" w14:textId="77777777" w:rsidR="00D55C1E" w:rsidRDefault="00EB0A4E">
            <w:pPr>
              <w:rPr>
                <w:rFonts w:ascii="Arial" w:eastAsia="Arial" w:hAnsi="Arial" w:cs="Arial"/>
                <w:color w:val="0E101A"/>
                <w:sz w:val="22"/>
                <w:szCs w:val="22"/>
              </w:rPr>
            </w:pPr>
            <w:r>
              <w:rPr>
                <w:rFonts w:ascii="Arial" w:eastAsia="Arial" w:hAnsi="Arial" w:cs="Arial"/>
                <w:color w:val="0E101A"/>
                <w:sz w:val="22"/>
                <w:szCs w:val="22"/>
              </w:rPr>
              <w:t>The Performance-Based Assessment (PBA) consists of three distinct sections:</w:t>
            </w:r>
          </w:p>
          <w:p w14:paraId="3A622181" w14:textId="77777777" w:rsidR="00D55C1E" w:rsidRDefault="00EB0A4E">
            <w:pPr>
              <w:numPr>
                <w:ilvl w:val="0"/>
                <w:numId w:val="15"/>
              </w:numPr>
              <w:rPr>
                <w:rFonts w:ascii="Arial" w:eastAsia="Arial" w:hAnsi="Arial" w:cs="Arial"/>
                <w:color w:val="0E101A"/>
                <w:sz w:val="22"/>
                <w:szCs w:val="22"/>
              </w:rPr>
            </w:pPr>
            <w:r>
              <w:rPr>
                <w:rFonts w:ascii="Arial" w:eastAsia="Arial" w:hAnsi="Arial" w:cs="Arial"/>
                <w:color w:val="0E101A"/>
                <w:sz w:val="22"/>
                <w:szCs w:val="22"/>
              </w:rPr>
              <w:t>Components based on the six Danielson FFT clusters</w:t>
            </w:r>
          </w:p>
          <w:p w14:paraId="61AC2781" w14:textId="77777777" w:rsidR="00D55C1E" w:rsidRDefault="00EB0A4E">
            <w:pPr>
              <w:numPr>
                <w:ilvl w:val="0"/>
                <w:numId w:val="15"/>
              </w:numPr>
              <w:rPr>
                <w:rFonts w:ascii="Arial" w:eastAsia="Arial" w:hAnsi="Arial" w:cs="Arial"/>
                <w:color w:val="0E101A"/>
                <w:sz w:val="22"/>
                <w:szCs w:val="22"/>
              </w:rPr>
            </w:pPr>
            <w:r>
              <w:rPr>
                <w:rFonts w:ascii="Arial" w:eastAsia="Arial" w:hAnsi="Arial" w:cs="Arial"/>
                <w:color w:val="0E101A"/>
                <w:sz w:val="22"/>
                <w:szCs w:val="22"/>
              </w:rPr>
              <w:t>Maryland State Department of Education diversity indicators</w:t>
            </w:r>
          </w:p>
          <w:p w14:paraId="2474714F" w14:textId="77777777" w:rsidR="00D55C1E" w:rsidRDefault="00EB0A4E">
            <w:pPr>
              <w:numPr>
                <w:ilvl w:val="0"/>
                <w:numId w:val="15"/>
              </w:numPr>
              <w:rPr>
                <w:rFonts w:ascii="Arial" w:eastAsia="Arial" w:hAnsi="Arial" w:cs="Arial"/>
                <w:color w:val="0E101A"/>
                <w:sz w:val="22"/>
                <w:szCs w:val="22"/>
              </w:rPr>
            </w:pPr>
            <w:r>
              <w:rPr>
                <w:rFonts w:ascii="Arial" w:eastAsia="Arial" w:hAnsi="Arial" w:cs="Arial"/>
                <w:color w:val="0E101A"/>
                <w:sz w:val="22"/>
                <w:szCs w:val="22"/>
              </w:rPr>
              <w:t>Program-specific PBA items:</w:t>
            </w:r>
          </w:p>
          <w:p w14:paraId="222B9754" w14:textId="77777777" w:rsidR="00D55C1E" w:rsidRDefault="00EB0A4E">
            <w:pPr>
              <w:keepLines/>
              <w:rPr>
                <w:rFonts w:ascii="Arial" w:eastAsia="Arial" w:hAnsi="Arial" w:cs="Arial"/>
                <w:sz w:val="22"/>
                <w:szCs w:val="22"/>
              </w:rPr>
            </w:pPr>
            <w:r>
              <w:rPr>
                <w:rFonts w:ascii="Arial" w:eastAsia="Arial" w:hAnsi="Arial" w:cs="Arial"/>
                <w:color w:val="0E101A"/>
                <w:sz w:val="22"/>
                <w:szCs w:val="22"/>
              </w:rPr>
              <w:t xml:space="preserve">The teacher candidate, the mentor teacher, and the University Supervisor complete the PBA. The mentor teacher is the </w:t>
            </w:r>
            <w:proofErr w:type="gramStart"/>
            <w:r>
              <w:rPr>
                <w:rFonts w:ascii="Arial" w:eastAsia="Arial" w:hAnsi="Arial" w:cs="Arial"/>
                <w:color w:val="0E101A"/>
                <w:sz w:val="22"/>
                <w:szCs w:val="22"/>
              </w:rPr>
              <w:t>public school</w:t>
            </w:r>
            <w:proofErr w:type="gramEnd"/>
            <w:r>
              <w:rPr>
                <w:rFonts w:ascii="Arial" w:eastAsia="Arial" w:hAnsi="Arial" w:cs="Arial"/>
                <w:color w:val="0E101A"/>
                <w:sz w:val="22"/>
                <w:szCs w:val="22"/>
              </w:rPr>
              <w:t xml:space="preserve"> teacher hosting and mentoring the teacher candidate. The university supervisor is the UMD faculty member who works collaboratively with the mentor teachers and periodically evaluates the teacher candidates during the yearlong internship. Candidates’ expectations include scoring “meets expectations” ratings for all Danielson-based indicators and “Proficient” for the MSDE diversity indicators.</w:t>
            </w:r>
          </w:p>
        </w:tc>
        <w:tc>
          <w:tcPr>
            <w:tcW w:w="4319" w:type="dxa"/>
            <w:shd w:val="clear" w:color="auto" w:fill="D0E0E3"/>
          </w:tcPr>
          <w:p w14:paraId="7D592AC2" w14:textId="77777777" w:rsidR="00D55C1E" w:rsidRDefault="00EB0A4E">
            <w:pPr>
              <w:keepLines/>
              <w:rPr>
                <w:rFonts w:ascii="Arial" w:eastAsia="Arial" w:hAnsi="Arial" w:cs="Arial"/>
                <w:sz w:val="22"/>
                <w:szCs w:val="22"/>
              </w:rPr>
            </w:pPr>
            <w:r>
              <w:rPr>
                <w:rFonts w:ascii="Arial" w:eastAsia="Arial" w:hAnsi="Arial" w:cs="Arial"/>
                <w:sz w:val="22"/>
                <w:szCs w:val="22"/>
              </w:rPr>
              <w:t xml:space="preserve">The vast majority of completers (n=204) successfully met or exceeded the “meets expectations” benchmark for the Standard 1 Performance-Based indicators. A table showing the percentage of completers who met the indicator benchmark for initial teacher education is available </w:t>
            </w:r>
            <w:hyperlink r:id="rId12">
              <w:r>
                <w:rPr>
                  <w:rFonts w:ascii="Arial" w:eastAsia="Arial" w:hAnsi="Arial" w:cs="Arial"/>
                  <w:color w:val="1155CC"/>
                  <w:sz w:val="22"/>
                  <w:szCs w:val="22"/>
                  <w:u w:val="single"/>
                </w:rPr>
                <w:t>here</w:t>
              </w:r>
            </w:hyperlink>
            <w:r>
              <w:rPr>
                <w:rFonts w:ascii="Arial" w:eastAsia="Arial" w:hAnsi="Arial" w:cs="Arial"/>
                <w:sz w:val="22"/>
                <w:szCs w:val="22"/>
              </w:rPr>
              <w:t xml:space="preserve">. The data provided comes from the final spring supervisor ratings. The data show that all indicators were 93% or higher. This demonstrates that initial teacher completers for the Fall 2022 and Spring 2023 cohort successfully met the benchmark expectation.  </w:t>
            </w:r>
          </w:p>
        </w:tc>
      </w:tr>
      <w:tr w:rsidR="00D55C1E" w14:paraId="036AA851" w14:textId="77777777">
        <w:trPr>
          <w:trHeight w:val="21"/>
        </w:trPr>
        <w:tc>
          <w:tcPr>
            <w:tcW w:w="4318" w:type="dxa"/>
            <w:shd w:val="clear" w:color="auto" w:fill="D0E0E3"/>
          </w:tcPr>
          <w:p w14:paraId="4BD1F7F6" w14:textId="77777777" w:rsidR="00D55C1E" w:rsidRDefault="00EB0A4E">
            <w:pPr>
              <w:keepLines/>
              <w:rPr>
                <w:rFonts w:ascii="Arial" w:eastAsia="Arial" w:hAnsi="Arial" w:cs="Arial"/>
                <w:sz w:val="22"/>
                <w:szCs w:val="22"/>
              </w:rPr>
            </w:pPr>
            <w:r>
              <w:rPr>
                <w:rFonts w:ascii="Arial" w:eastAsia="Arial" w:hAnsi="Arial" w:cs="Arial"/>
                <w:sz w:val="22"/>
                <w:szCs w:val="22"/>
              </w:rPr>
              <w:lastRenderedPageBreak/>
              <w:t>Praxis II Content Exams</w:t>
            </w:r>
          </w:p>
        </w:tc>
        <w:tc>
          <w:tcPr>
            <w:tcW w:w="4318" w:type="dxa"/>
            <w:shd w:val="clear" w:color="auto" w:fill="D0E0E3"/>
          </w:tcPr>
          <w:p w14:paraId="5122640B" w14:textId="77777777" w:rsidR="00D55C1E" w:rsidRDefault="00EB0A4E">
            <w:pPr>
              <w:keepLines/>
              <w:rPr>
                <w:rFonts w:ascii="Arial" w:eastAsia="Arial" w:hAnsi="Arial" w:cs="Arial"/>
                <w:sz w:val="22"/>
                <w:szCs w:val="22"/>
              </w:rPr>
            </w:pPr>
            <w:r>
              <w:rPr>
                <w:rFonts w:ascii="Arial" w:eastAsia="Arial" w:hAnsi="Arial" w:cs="Arial"/>
                <w:sz w:val="22"/>
                <w:szCs w:val="22"/>
              </w:rPr>
              <w:t>The Praxis® Subject Assessments measure knowledge of specific subjects that PreK-12 educators will teach and general and subject-specific teaching skills and knowledge. Praxis II is a requirement for teacher certification in the State of Maryland. Therefore, UMD requires candidates to achieve passing scores on the Praxis II Content Knowledge Exams for admission into the yearlong internship’s student teaching portion (spring semester). (NOTE: The graduate/MCERT level candidates typically complete the Praxis Content Knowledge Exam at the point of program admission.) UMD uses the qualifying scores established by the Maryland State Department of Education (MSDE) for program approval and licensure as the basis for the cut scores.</w:t>
            </w:r>
          </w:p>
        </w:tc>
        <w:tc>
          <w:tcPr>
            <w:tcW w:w="4319" w:type="dxa"/>
            <w:shd w:val="clear" w:color="auto" w:fill="D0E0E3"/>
          </w:tcPr>
          <w:p w14:paraId="2F64E55F" w14:textId="77777777" w:rsidR="00D55C1E" w:rsidRDefault="00FE6CBA">
            <w:pPr>
              <w:keepLines/>
              <w:spacing w:line="276" w:lineRule="auto"/>
              <w:rPr>
                <w:rFonts w:ascii="Arial" w:eastAsia="Arial" w:hAnsi="Arial" w:cs="Arial"/>
                <w:color w:val="FF0000"/>
                <w:sz w:val="22"/>
                <w:szCs w:val="22"/>
              </w:rPr>
            </w:pPr>
            <w:r>
              <w:rPr>
                <w:rFonts w:ascii="Arial" w:eastAsia="Arial" w:hAnsi="Arial" w:cs="Arial"/>
                <w:sz w:val="22"/>
                <w:szCs w:val="22"/>
              </w:rPr>
              <w:t xml:space="preserve">In the spring of 2023, initial teacher education candidates successfully passed and exceeded the MSDE score benchmark for each subject-specific exam. A table showing UMD means and the MSDE passing score is available </w:t>
            </w:r>
            <w:hyperlink r:id="rId13">
              <w:r>
                <w:rPr>
                  <w:rFonts w:ascii="Arial" w:eastAsia="Arial" w:hAnsi="Arial" w:cs="Arial"/>
                  <w:color w:val="1155CC"/>
                  <w:sz w:val="22"/>
                  <w:szCs w:val="22"/>
                  <w:u w:val="single"/>
                </w:rPr>
                <w:t>here</w:t>
              </w:r>
            </w:hyperlink>
            <w:r>
              <w:rPr>
                <w:rFonts w:ascii="Arial" w:eastAsia="Arial" w:hAnsi="Arial" w:cs="Arial"/>
                <w:sz w:val="22"/>
                <w:szCs w:val="22"/>
              </w:rPr>
              <w:t>.</w:t>
            </w:r>
          </w:p>
          <w:p w14:paraId="4CC02C27" w14:textId="77777777" w:rsidR="00D55C1E" w:rsidRDefault="00D55C1E">
            <w:pPr>
              <w:keepLines/>
              <w:rPr>
                <w:rFonts w:ascii="Arial" w:eastAsia="Arial" w:hAnsi="Arial" w:cs="Arial"/>
                <w:sz w:val="22"/>
                <w:szCs w:val="22"/>
              </w:rPr>
            </w:pPr>
          </w:p>
        </w:tc>
      </w:tr>
      <w:tr w:rsidR="00D55C1E" w14:paraId="23809AB4" w14:textId="77777777">
        <w:trPr>
          <w:trHeight w:val="21"/>
        </w:trPr>
        <w:tc>
          <w:tcPr>
            <w:tcW w:w="4318" w:type="dxa"/>
            <w:shd w:val="clear" w:color="auto" w:fill="D0E0E3"/>
          </w:tcPr>
          <w:p w14:paraId="2DC7DE3B" w14:textId="77777777" w:rsidR="00D55C1E" w:rsidRDefault="00EB0A4E">
            <w:pPr>
              <w:keepLines/>
              <w:rPr>
                <w:rFonts w:ascii="Arial" w:eastAsia="Arial" w:hAnsi="Arial" w:cs="Arial"/>
                <w:sz w:val="22"/>
                <w:szCs w:val="22"/>
              </w:rPr>
            </w:pPr>
            <w:proofErr w:type="spellStart"/>
            <w:r>
              <w:rPr>
                <w:rFonts w:ascii="Arial" w:eastAsia="Arial" w:hAnsi="Arial" w:cs="Arial"/>
                <w:sz w:val="22"/>
                <w:szCs w:val="22"/>
              </w:rPr>
              <w:lastRenderedPageBreak/>
              <w:t>edTPA</w:t>
            </w:r>
            <w:proofErr w:type="spellEnd"/>
          </w:p>
        </w:tc>
        <w:tc>
          <w:tcPr>
            <w:tcW w:w="4318" w:type="dxa"/>
            <w:shd w:val="clear" w:color="auto" w:fill="D0E0E3"/>
          </w:tcPr>
          <w:p w14:paraId="67A536C0" w14:textId="77777777" w:rsidR="00D55C1E" w:rsidRDefault="00FE6CBA">
            <w:pPr>
              <w:keepLines/>
              <w:spacing w:before="240"/>
              <w:rPr>
                <w:rFonts w:ascii="Arial" w:eastAsia="Arial" w:hAnsi="Arial" w:cs="Arial"/>
                <w:sz w:val="22"/>
                <w:szCs w:val="22"/>
              </w:rPr>
            </w:pPr>
            <w:r>
              <w:rPr>
                <w:rFonts w:ascii="Arial" w:eastAsia="Arial" w:hAnsi="Arial" w:cs="Arial"/>
                <w:sz w:val="22"/>
                <w:szCs w:val="22"/>
              </w:rPr>
              <w:t xml:space="preserve">The </w:t>
            </w:r>
            <w:proofErr w:type="spellStart"/>
            <w:r>
              <w:rPr>
                <w:rFonts w:ascii="Arial" w:eastAsia="Arial" w:hAnsi="Arial" w:cs="Arial"/>
                <w:sz w:val="22"/>
                <w:szCs w:val="22"/>
              </w:rPr>
              <w:t>edTPA</w:t>
            </w:r>
            <w:proofErr w:type="spellEnd"/>
            <w:r>
              <w:rPr>
                <w:rFonts w:ascii="Arial" w:eastAsia="Arial" w:hAnsi="Arial" w:cs="Arial"/>
                <w:sz w:val="22"/>
                <w:szCs w:val="22"/>
              </w:rPr>
              <w:t xml:space="preserve"> is a subject-specific performance-based assessment modeled after the National Board Certification process. In addition, the </w:t>
            </w:r>
            <w:proofErr w:type="spellStart"/>
            <w:r>
              <w:rPr>
                <w:rFonts w:ascii="Arial" w:eastAsia="Arial" w:hAnsi="Arial" w:cs="Arial"/>
                <w:sz w:val="22"/>
                <w:szCs w:val="22"/>
              </w:rPr>
              <w:t>edTPA</w:t>
            </w:r>
            <w:proofErr w:type="spellEnd"/>
            <w:r>
              <w:rPr>
                <w:rFonts w:ascii="Arial" w:eastAsia="Arial" w:hAnsi="Arial" w:cs="Arial"/>
                <w:sz w:val="22"/>
                <w:szCs w:val="22"/>
              </w:rPr>
              <w:t xml:space="preserve"> satisfies the Maryland State Department of Education requirements for an exit portfolio and content-specific pedagogy. The expected score set by the College of Education (COE) is a combined score of 35 for World Language, 39 for all 15 Rubric portfolios, and 47 for the Elementary Education 4 Task portfolios. MSDE implemented a new policy that eventually will require graduates of approved teacher education programs to complete either the </w:t>
            </w:r>
            <w:proofErr w:type="spellStart"/>
            <w:r>
              <w:rPr>
                <w:rFonts w:ascii="Arial" w:eastAsia="Arial" w:hAnsi="Arial" w:cs="Arial"/>
                <w:sz w:val="22"/>
                <w:szCs w:val="22"/>
              </w:rPr>
              <w:t>edTPA</w:t>
            </w:r>
            <w:proofErr w:type="spellEnd"/>
            <w:r>
              <w:rPr>
                <w:rFonts w:ascii="Arial" w:eastAsia="Arial" w:hAnsi="Arial" w:cs="Arial"/>
                <w:sz w:val="22"/>
                <w:szCs w:val="22"/>
              </w:rPr>
              <w:t xml:space="preserve"> or the ETS PPAT performance assessment. The State Board will establish a qualifying score for implementation in 2025. There is no state minimum score requirement, but all students must receive a qualifying numerical score.</w:t>
            </w:r>
          </w:p>
          <w:p w14:paraId="4832623B" w14:textId="77777777" w:rsidR="00D55C1E" w:rsidRDefault="00D55C1E">
            <w:pPr>
              <w:keepLines/>
              <w:rPr>
                <w:rFonts w:ascii="Arial" w:eastAsia="Arial" w:hAnsi="Arial" w:cs="Arial"/>
                <w:sz w:val="22"/>
                <w:szCs w:val="22"/>
              </w:rPr>
            </w:pPr>
          </w:p>
        </w:tc>
        <w:tc>
          <w:tcPr>
            <w:tcW w:w="4319" w:type="dxa"/>
            <w:shd w:val="clear" w:color="auto" w:fill="D0E0E3"/>
          </w:tcPr>
          <w:p w14:paraId="4FEF3C49" w14:textId="77777777" w:rsidR="00FE6CBA" w:rsidRDefault="00FE6CBA">
            <w:pPr>
              <w:keepLines/>
              <w:rPr>
                <w:rFonts w:ascii="Arial" w:eastAsia="Arial" w:hAnsi="Arial" w:cs="Arial"/>
                <w:sz w:val="22"/>
                <w:szCs w:val="22"/>
              </w:rPr>
            </w:pPr>
          </w:p>
          <w:p w14:paraId="27E8A7F8" w14:textId="77777777" w:rsidR="00D55C1E" w:rsidRDefault="00EB0A4E">
            <w:pPr>
              <w:keepLines/>
              <w:rPr>
                <w:rFonts w:ascii="Arial" w:eastAsia="Arial" w:hAnsi="Arial" w:cs="Arial"/>
                <w:sz w:val="22"/>
                <w:szCs w:val="22"/>
              </w:rPr>
            </w:pPr>
            <w:r>
              <w:rPr>
                <w:rFonts w:ascii="Arial" w:eastAsia="Arial" w:hAnsi="Arial" w:cs="Arial"/>
                <w:sz w:val="22"/>
                <w:szCs w:val="22"/>
              </w:rPr>
              <w:t xml:space="preserve">The data provided represent the number of students who passed based on the MSDE criteria. Students </w:t>
            </w:r>
            <w:r w:rsidR="00FE6CBA">
              <w:rPr>
                <w:rFonts w:ascii="Arial" w:eastAsia="Arial" w:hAnsi="Arial" w:cs="Arial"/>
                <w:sz w:val="22"/>
                <w:szCs w:val="22"/>
              </w:rPr>
              <w:t>who</w:t>
            </w:r>
            <w:r>
              <w:rPr>
                <w:rFonts w:ascii="Arial" w:eastAsia="Arial" w:hAnsi="Arial" w:cs="Arial"/>
                <w:sz w:val="22"/>
                <w:szCs w:val="22"/>
              </w:rPr>
              <w:t xml:space="preserve"> did not pass due to condition codes had to retake the portfolio to receive a qualifying score. A data table showing the percentage of students who passed the </w:t>
            </w:r>
            <w:proofErr w:type="spellStart"/>
            <w:r>
              <w:rPr>
                <w:rFonts w:ascii="Arial" w:eastAsia="Arial" w:hAnsi="Arial" w:cs="Arial"/>
                <w:sz w:val="22"/>
                <w:szCs w:val="22"/>
              </w:rPr>
              <w:t>edTPA</w:t>
            </w:r>
            <w:proofErr w:type="spellEnd"/>
            <w:r>
              <w:rPr>
                <w:rFonts w:ascii="Arial" w:eastAsia="Arial" w:hAnsi="Arial" w:cs="Arial"/>
                <w:sz w:val="22"/>
                <w:szCs w:val="22"/>
              </w:rPr>
              <w:t xml:space="preserve"> (initial and resubmission due to condition codes) is viewable </w:t>
            </w:r>
            <w:hyperlink r:id="rId14">
              <w:r>
                <w:rPr>
                  <w:rFonts w:ascii="Arial" w:eastAsia="Arial" w:hAnsi="Arial" w:cs="Arial"/>
                  <w:color w:val="1155CC"/>
                  <w:sz w:val="22"/>
                  <w:szCs w:val="22"/>
                  <w:u w:val="single"/>
                </w:rPr>
                <w:t>here</w:t>
              </w:r>
            </w:hyperlink>
            <w:r>
              <w:rPr>
                <w:rFonts w:ascii="Arial" w:eastAsia="Arial" w:hAnsi="Arial" w:cs="Arial"/>
                <w:sz w:val="22"/>
                <w:szCs w:val="22"/>
              </w:rPr>
              <w:t xml:space="preserve"> </w:t>
            </w:r>
          </w:p>
        </w:tc>
      </w:tr>
      <w:tr w:rsidR="00D55C1E" w14:paraId="22822331" w14:textId="77777777">
        <w:trPr>
          <w:trHeight w:val="21"/>
        </w:trPr>
        <w:tc>
          <w:tcPr>
            <w:tcW w:w="4318" w:type="dxa"/>
            <w:shd w:val="clear" w:color="auto" w:fill="D0E0E3"/>
          </w:tcPr>
          <w:p w14:paraId="17BBBB6B" w14:textId="77777777" w:rsidR="00D55C1E" w:rsidRDefault="00EB0A4E">
            <w:pPr>
              <w:keepLines/>
              <w:rPr>
                <w:rFonts w:ascii="Arial" w:eastAsia="Arial" w:hAnsi="Arial" w:cs="Arial"/>
                <w:sz w:val="22"/>
                <w:szCs w:val="22"/>
              </w:rPr>
            </w:pPr>
            <w:r>
              <w:rPr>
                <w:rFonts w:ascii="Arial" w:eastAsia="Arial" w:hAnsi="Arial" w:cs="Arial"/>
              </w:rPr>
              <w:t xml:space="preserve">Exit Survey </w:t>
            </w:r>
          </w:p>
        </w:tc>
        <w:tc>
          <w:tcPr>
            <w:tcW w:w="4318" w:type="dxa"/>
            <w:shd w:val="clear" w:color="auto" w:fill="D0E0E3"/>
          </w:tcPr>
          <w:p w14:paraId="1811AB0D" w14:textId="77777777" w:rsidR="00D55C1E" w:rsidRDefault="00EB0A4E">
            <w:pPr>
              <w:keepLines/>
              <w:rPr>
                <w:rFonts w:ascii="Arial" w:eastAsia="Arial" w:hAnsi="Arial" w:cs="Arial"/>
                <w:sz w:val="22"/>
                <w:szCs w:val="22"/>
              </w:rPr>
            </w:pPr>
            <w:r>
              <w:rPr>
                <w:rFonts w:ascii="Arial" w:eastAsia="Arial" w:hAnsi="Arial" w:cs="Arial"/>
                <w:sz w:val="22"/>
                <w:szCs w:val="22"/>
              </w:rPr>
              <w:t xml:space="preserve">Exit Surveys: Each graduation semester/term, the College surveys its graduating candidates to solicit feedback regarding their preparation and identify program improvement areas. </w:t>
            </w:r>
          </w:p>
        </w:tc>
        <w:tc>
          <w:tcPr>
            <w:tcW w:w="4319" w:type="dxa"/>
            <w:shd w:val="clear" w:color="auto" w:fill="D0E0E3"/>
          </w:tcPr>
          <w:p w14:paraId="78DBC785" w14:textId="77777777" w:rsidR="00D55C1E" w:rsidRDefault="00EB0A4E">
            <w:pPr>
              <w:keepLines/>
              <w:rPr>
                <w:rFonts w:ascii="Arial" w:eastAsia="Arial" w:hAnsi="Arial" w:cs="Arial"/>
                <w:sz w:val="22"/>
                <w:szCs w:val="22"/>
              </w:rPr>
            </w:pPr>
            <w:r>
              <w:rPr>
                <w:rFonts w:ascii="Arial" w:eastAsia="Arial" w:hAnsi="Arial" w:cs="Arial"/>
                <w:sz w:val="22"/>
                <w:szCs w:val="22"/>
              </w:rPr>
              <w:t>The survey evidence is viewable in Table 2</w:t>
            </w:r>
            <w:r w:rsidR="00FE6CBA">
              <w:rPr>
                <w:rFonts w:ascii="Arial" w:eastAsia="Arial" w:hAnsi="Arial" w:cs="Arial"/>
                <w:sz w:val="22"/>
                <w:szCs w:val="22"/>
              </w:rPr>
              <w:t>: Program</w:t>
            </w:r>
            <w:r>
              <w:rPr>
                <w:rFonts w:ascii="Arial" w:eastAsia="Arial" w:hAnsi="Arial" w:cs="Arial"/>
                <w:sz w:val="22"/>
                <w:szCs w:val="22"/>
              </w:rPr>
              <w:t xml:space="preserve"> Performance Indicators</w:t>
            </w:r>
            <w:r w:rsidR="00FE6CBA">
              <w:rPr>
                <w:rFonts w:ascii="Arial" w:eastAsia="Arial" w:hAnsi="Arial" w:cs="Arial"/>
                <w:sz w:val="22"/>
                <w:szCs w:val="22"/>
              </w:rPr>
              <w:t xml:space="preserve"> appear in</w:t>
            </w:r>
            <w:r>
              <w:rPr>
                <w:rFonts w:ascii="Arial" w:eastAsia="Arial" w:hAnsi="Arial" w:cs="Arial"/>
                <w:sz w:val="22"/>
                <w:szCs w:val="22"/>
              </w:rPr>
              <w:t xml:space="preserve"> question F.</w:t>
            </w:r>
          </w:p>
        </w:tc>
      </w:tr>
    </w:tbl>
    <w:p w14:paraId="758CDB99" w14:textId="77777777" w:rsidR="00D55C1E" w:rsidRDefault="00D55C1E">
      <w:pPr>
        <w:spacing w:after="200"/>
        <w:rPr>
          <w:b/>
        </w:rPr>
      </w:pPr>
    </w:p>
    <w:p w14:paraId="37D183C1" w14:textId="77777777" w:rsidR="00D55C1E" w:rsidRDefault="00EB0A4E">
      <w:pPr>
        <w:keepNext/>
        <w:spacing w:after="120"/>
        <w:rPr>
          <w:b/>
        </w:rPr>
      </w:pPr>
      <w:r>
        <w:rPr>
          <w:b/>
        </w:rPr>
        <w:t>Table 4. Expectations and Performance on Standard 2: Completer Professional Competence and Growth</w:t>
      </w:r>
    </w:p>
    <w:tbl>
      <w:tblPr>
        <w:tblStyle w:val="a9"/>
        <w:tblW w:w="1295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8"/>
        <w:gridCol w:w="4318"/>
        <w:gridCol w:w="4319"/>
      </w:tblGrid>
      <w:tr w:rsidR="00D55C1E" w14:paraId="399E4B1D" w14:textId="77777777">
        <w:trPr>
          <w:trHeight w:val="420"/>
        </w:trPr>
        <w:tc>
          <w:tcPr>
            <w:tcW w:w="4318" w:type="dxa"/>
            <w:shd w:val="clear" w:color="auto" w:fill="FFFFFF"/>
          </w:tcPr>
          <w:p w14:paraId="7BB850A9" w14:textId="77777777" w:rsidR="00D55C1E" w:rsidRDefault="00EB0A4E">
            <w:pPr>
              <w:rPr>
                <w:rFonts w:ascii="Arial" w:eastAsia="Arial" w:hAnsi="Arial" w:cs="Arial"/>
                <w:b/>
                <w:sz w:val="22"/>
                <w:szCs w:val="22"/>
              </w:rPr>
            </w:pPr>
            <w:r>
              <w:rPr>
                <w:rFonts w:ascii="Arial" w:eastAsia="Arial" w:hAnsi="Arial" w:cs="Arial"/>
                <w:b/>
                <w:sz w:val="22"/>
                <w:szCs w:val="22"/>
              </w:rPr>
              <w:t>Provider-Selected Measures</w:t>
            </w:r>
          </w:p>
        </w:tc>
        <w:tc>
          <w:tcPr>
            <w:tcW w:w="4318" w:type="dxa"/>
            <w:shd w:val="clear" w:color="auto" w:fill="FFFFFF"/>
          </w:tcPr>
          <w:p w14:paraId="68FB6385" w14:textId="77777777" w:rsidR="00D55C1E" w:rsidRDefault="00EB0A4E">
            <w:pPr>
              <w:rPr>
                <w:rFonts w:ascii="Arial" w:eastAsia="Arial" w:hAnsi="Arial" w:cs="Arial"/>
                <w:b/>
                <w:sz w:val="22"/>
                <w:szCs w:val="22"/>
              </w:rPr>
            </w:pPr>
            <w:r>
              <w:rPr>
                <w:rFonts w:ascii="Arial" w:eastAsia="Arial" w:hAnsi="Arial" w:cs="Arial"/>
                <w:b/>
                <w:sz w:val="22"/>
                <w:szCs w:val="22"/>
              </w:rPr>
              <w:t>Explanation of Performance Expectation</w:t>
            </w:r>
          </w:p>
        </w:tc>
        <w:tc>
          <w:tcPr>
            <w:tcW w:w="4319" w:type="dxa"/>
            <w:shd w:val="clear" w:color="auto" w:fill="FFFFFF"/>
          </w:tcPr>
          <w:p w14:paraId="0F25D663" w14:textId="77777777" w:rsidR="00D55C1E" w:rsidRDefault="00EB0A4E">
            <w:pPr>
              <w:rPr>
                <w:rFonts w:ascii="Arial" w:eastAsia="Arial" w:hAnsi="Arial" w:cs="Arial"/>
                <w:b/>
                <w:sz w:val="22"/>
                <w:szCs w:val="22"/>
              </w:rPr>
            </w:pPr>
            <w:r>
              <w:rPr>
                <w:rFonts w:ascii="Arial" w:eastAsia="Arial" w:hAnsi="Arial" w:cs="Arial"/>
                <w:b/>
                <w:sz w:val="22"/>
                <w:szCs w:val="22"/>
              </w:rPr>
              <w:t>Level or Extent of Success in Meeting the Expectation</w:t>
            </w:r>
          </w:p>
        </w:tc>
      </w:tr>
      <w:tr w:rsidR="00D55C1E" w14:paraId="0D1F0164" w14:textId="77777777">
        <w:trPr>
          <w:trHeight w:val="70"/>
        </w:trPr>
        <w:tc>
          <w:tcPr>
            <w:tcW w:w="4318" w:type="dxa"/>
            <w:shd w:val="clear" w:color="auto" w:fill="D0E0E3"/>
          </w:tcPr>
          <w:p w14:paraId="08B46564" w14:textId="77777777" w:rsidR="00D55C1E" w:rsidRDefault="00EB0A4E">
            <w:pPr>
              <w:keepLines/>
              <w:rPr>
                <w:rFonts w:ascii="Arial" w:eastAsia="Arial" w:hAnsi="Arial" w:cs="Arial"/>
                <w:sz w:val="22"/>
                <w:szCs w:val="22"/>
              </w:rPr>
            </w:pPr>
            <w:r>
              <w:rPr>
                <w:rFonts w:ascii="Arial" w:eastAsia="Arial" w:hAnsi="Arial" w:cs="Arial"/>
                <w:sz w:val="22"/>
                <w:szCs w:val="22"/>
              </w:rPr>
              <w:lastRenderedPageBreak/>
              <w:t>Foundational Competencies/Model Code of Ethics for Educators' Disposition Assessment</w:t>
            </w:r>
          </w:p>
        </w:tc>
        <w:tc>
          <w:tcPr>
            <w:tcW w:w="4318" w:type="dxa"/>
            <w:shd w:val="clear" w:color="auto" w:fill="D0E0E3"/>
          </w:tcPr>
          <w:p w14:paraId="0BA2563E" w14:textId="77777777" w:rsidR="00D55C1E" w:rsidRDefault="00EB0A4E">
            <w:pPr>
              <w:rPr>
                <w:rFonts w:ascii="Arial" w:eastAsia="Arial" w:hAnsi="Arial" w:cs="Arial"/>
                <w:color w:val="0E101A"/>
                <w:sz w:val="22"/>
                <w:szCs w:val="22"/>
              </w:rPr>
            </w:pPr>
            <w:r>
              <w:rPr>
                <w:rFonts w:ascii="Arial" w:eastAsia="Arial" w:hAnsi="Arial" w:cs="Arial"/>
                <w:color w:val="0E101A"/>
                <w:sz w:val="22"/>
                <w:szCs w:val="22"/>
              </w:rPr>
              <w:t>The College Foundational Competencies dispositions instrument includes</w:t>
            </w:r>
          </w:p>
          <w:p w14:paraId="6DD342BE" w14:textId="77777777" w:rsidR="00D55C1E" w:rsidRDefault="00EB0A4E">
            <w:pPr>
              <w:numPr>
                <w:ilvl w:val="0"/>
                <w:numId w:val="17"/>
              </w:numPr>
              <w:pBdr>
                <w:top w:val="nil"/>
                <w:left w:val="nil"/>
                <w:bottom w:val="nil"/>
                <w:right w:val="nil"/>
                <w:between w:val="nil"/>
              </w:pBdr>
              <w:spacing w:line="276" w:lineRule="auto"/>
              <w:rPr>
                <w:rFonts w:ascii="Arial" w:eastAsia="Arial" w:hAnsi="Arial" w:cs="Arial"/>
                <w:color w:val="0E101A"/>
                <w:sz w:val="22"/>
                <w:szCs w:val="22"/>
              </w:rPr>
            </w:pPr>
            <w:r>
              <w:rPr>
                <w:rFonts w:ascii="Arial" w:eastAsia="Arial" w:hAnsi="Arial" w:cs="Arial"/>
                <w:color w:val="0E101A"/>
                <w:sz w:val="22"/>
                <w:szCs w:val="22"/>
              </w:rPr>
              <w:t>Sixteen indicators</w:t>
            </w:r>
          </w:p>
          <w:p w14:paraId="5CB45208" w14:textId="77777777" w:rsidR="00D55C1E" w:rsidRDefault="00EB0A4E">
            <w:pPr>
              <w:numPr>
                <w:ilvl w:val="0"/>
                <w:numId w:val="16"/>
              </w:numPr>
              <w:rPr>
                <w:rFonts w:ascii="Arial" w:eastAsia="Arial" w:hAnsi="Arial" w:cs="Arial"/>
                <w:color w:val="0E101A"/>
                <w:sz w:val="22"/>
                <w:szCs w:val="22"/>
              </w:rPr>
            </w:pPr>
            <w:r>
              <w:rPr>
                <w:rFonts w:ascii="Arial" w:eastAsia="Arial" w:hAnsi="Arial" w:cs="Arial"/>
                <w:color w:val="0E101A"/>
                <w:sz w:val="22"/>
                <w:szCs w:val="22"/>
              </w:rPr>
              <w:t>Exam foundational competencies in</w:t>
            </w:r>
          </w:p>
          <w:p w14:paraId="0CBBE309" w14:textId="77777777" w:rsidR="00D55C1E" w:rsidRDefault="00EB0A4E">
            <w:pPr>
              <w:numPr>
                <w:ilvl w:val="1"/>
                <w:numId w:val="16"/>
              </w:numPr>
              <w:rPr>
                <w:rFonts w:ascii="Arial" w:eastAsia="Arial" w:hAnsi="Arial" w:cs="Arial"/>
                <w:color w:val="0E101A"/>
                <w:sz w:val="22"/>
                <w:szCs w:val="22"/>
              </w:rPr>
            </w:pPr>
            <w:r>
              <w:rPr>
                <w:rFonts w:ascii="Arial" w:eastAsia="Arial" w:hAnsi="Arial" w:cs="Arial"/>
                <w:color w:val="0E101A"/>
                <w:sz w:val="22"/>
                <w:szCs w:val="22"/>
              </w:rPr>
              <w:t>English language competence</w:t>
            </w:r>
          </w:p>
          <w:p w14:paraId="1F0199DA" w14:textId="77777777" w:rsidR="00D55C1E" w:rsidRDefault="00EB0A4E">
            <w:pPr>
              <w:numPr>
                <w:ilvl w:val="1"/>
                <w:numId w:val="16"/>
              </w:numPr>
              <w:rPr>
                <w:rFonts w:ascii="Arial" w:eastAsia="Arial" w:hAnsi="Arial" w:cs="Arial"/>
                <w:color w:val="0E101A"/>
                <w:sz w:val="22"/>
                <w:szCs w:val="22"/>
              </w:rPr>
            </w:pPr>
            <w:r>
              <w:rPr>
                <w:rFonts w:ascii="Arial" w:eastAsia="Arial" w:hAnsi="Arial" w:cs="Arial"/>
                <w:color w:val="0E101A"/>
                <w:sz w:val="22"/>
                <w:szCs w:val="22"/>
              </w:rPr>
              <w:t>Interpersonal competence</w:t>
            </w:r>
          </w:p>
          <w:p w14:paraId="1B7801E9" w14:textId="77777777" w:rsidR="00D55C1E" w:rsidRDefault="00EB0A4E">
            <w:pPr>
              <w:numPr>
                <w:ilvl w:val="1"/>
                <w:numId w:val="16"/>
              </w:numPr>
              <w:rPr>
                <w:rFonts w:ascii="Arial" w:eastAsia="Arial" w:hAnsi="Arial" w:cs="Arial"/>
                <w:color w:val="0E101A"/>
                <w:sz w:val="22"/>
                <w:szCs w:val="22"/>
              </w:rPr>
            </w:pPr>
            <w:r>
              <w:rPr>
                <w:rFonts w:ascii="Arial" w:eastAsia="Arial" w:hAnsi="Arial" w:cs="Arial"/>
                <w:color w:val="0E101A"/>
                <w:sz w:val="22"/>
                <w:szCs w:val="22"/>
              </w:rPr>
              <w:t>Work and task management</w:t>
            </w:r>
          </w:p>
          <w:p w14:paraId="65EE0695" w14:textId="77777777" w:rsidR="00D55C1E" w:rsidRDefault="00EB0A4E">
            <w:pPr>
              <w:numPr>
                <w:ilvl w:val="1"/>
                <w:numId w:val="16"/>
              </w:numPr>
              <w:rPr>
                <w:rFonts w:ascii="Arial" w:eastAsia="Arial" w:hAnsi="Arial" w:cs="Arial"/>
                <w:color w:val="0E101A"/>
                <w:sz w:val="22"/>
                <w:szCs w:val="22"/>
              </w:rPr>
            </w:pPr>
            <w:r>
              <w:rPr>
                <w:rFonts w:ascii="Arial" w:eastAsia="Arial" w:hAnsi="Arial" w:cs="Arial"/>
                <w:color w:val="0E101A"/>
                <w:sz w:val="22"/>
                <w:szCs w:val="22"/>
              </w:rPr>
              <w:t>Analytic and reasoning competencies</w:t>
            </w:r>
          </w:p>
          <w:p w14:paraId="777F7225" w14:textId="77777777" w:rsidR="00D55C1E" w:rsidRDefault="00EB0A4E">
            <w:pPr>
              <w:numPr>
                <w:ilvl w:val="1"/>
                <w:numId w:val="16"/>
              </w:numPr>
              <w:rPr>
                <w:rFonts w:ascii="Arial" w:eastAsia="Arial" w:hAnsi="Arial" w:cs="Arial"/>
                <w:color w:val="0E101A"/>
                <w:sz w:val="22"/>
                <w:szCs w:val="22"/>
              </w:rPr>
            </w:pPr>
            <w:r>
              <w:rPr>
                <w:rFonts w:ascii="Arial" w:eastAsia="Arial" w:hAnsi="Arial" w:cs="Arial"/>
                <w:color w:val="0E101A"/>
                <w:sz w:val="22"/>
                <w:szCs w:val="22"/>
              </w:rPr>
              <w:t>Professional conduct</w:t>
            </w:r>
          </w:p>
          <w:p w14:paraId="6F4AE47C" w14:textId="77777777" w:rsidR="00D55C1E" w:rsidRDefault="00EB0A4E">
            <w:pPr>
              <w:numPr>
                <w:ilvl w:val="1"/>
                <w:numId w:val="16"/>
              </w:numPr>
              <w:rPr>
                <w:rFonts w:ascii="Arial" w:eastAsia="Arial" w:hAnsi="Arial" w:cs="Arial"/>
                <w:color w:val="0E101A"/>
                <w:sz w:val="22"/>
                <w:szCs w:val="22"/>
              </w:rPr>
            </w:pPr>
            <w:r>
              <w:rPr>
                <w:rFonts w:ascii="Arial" w:eastAsia="Arial" w:hAnsi="Arial" w:cs="Arial"/>
                <w:color w:val="0E101A"/>
                <w:sz w:val="22"/>
                <w:szCs w:val="22"/>
              </w:rPr>
              <w:t>Physical abilities</w:t>
            </w:r>
          </w:p>
          <w:p w14:paraId="272C4A3B" w14:textId="77777777" w:rsidR="00D55C1E" w:rsidRDefault="00EB0A4E">
            <w:pPr>
              <w:numPr>
                <w:ilvl w:val="1"/>
                <w:numId w:val="16"/>
              </w:numPr>
              <w:rPr>
                <w:rFonts w:ascii="Arial" w:eastAsia="Arial" w:hAnsi="Arial" w:cs="Arial"/>
                <w:color w:val="0E101A"/>
                <w:sz w:val="22"/>
                <w:szCs w:val="22"/>
              </w:rPr>
            </w:pPr>
            <w:r>
              <w:rPr>
                <w:rFonts w:ascii="Arial" w:eastAsia="Arial" w:hAnsi="Arial" w:cs="Arial"/>
                <w:color w:val="0E101A"/>
                <w:sz w:val="22"/>
                <w:szCs w:val="22"/>
              </w:rPr>
              <w:t>Professionalism</w:t>
            </w:r>
          </w:p>
          <w:p w14:paraId="69288389" w14:textId="77777777" w:rsidR="00D55C1E" w:rsidRDefault="00EB0A4E">
            <w:pPr>
              <w:rPr>
                <w:rFonts w:ascii="Arial" w:eastAsia="Arial" w:hAnsi="Arial" w:cs="Arial"/>
                <w:color w:val="0E101A"/>
                <w:sz w:val="22"/>
                <w:szCs w:val="22"/>
              </w:rPr>
            </w:pPr>
            <w:r>
              <w:rPr>
                <w:rFonts w:ascii="Arial" w:eastAsia="Arial" w:hAnsi="Arial" w:cs="Arial"/>
                <w:color w:val="0E101A"/>
                <w:sz w:val="22"/>
                <w:szCs w:val="22"/>
              </w:rPr>
              <w:t>We apply all components to an instrument that aligns with the Model Code of Ethics for Educators (MCEE), adopted by the National Association of State Directors of Teacher Education and Certification. </w:t>
            </w:r>
          </w:p>
          <w:p w14:paraId="524B1142" w14:textId="77777777" w:rsidR="00D55C1E" w:rsidRDefault="00EB0A4E">
            <w:pPr>
              <w:keepLines/>
              <w:rPr>
                <w:rFonts w:ascii="Arial" w:eastAsia="Arial" w:hAnsi="Arial" w:cs="Arial"/>
                <w:sz w:val="22"/>
                <w:szCs w:val="22"/>
              </w:rPr>
            </w:pPr>
            <w:r>
              <w:rPr>
                <w:rFonts w:ascii="Arial" w:eastAsia="Arial" w:hAnsi="Arial" w:cs="Arial"/>
                <w:sz w:val="22"/>
                <w:szCs w:val="22"/>
              </w:rPr>
              <w:t xml:space="preserve">The MCEE defines the critical dimensions of ethical practice expected of professional educators and serves as an ethical guide for future and current educators faced with the complexities of P-12 education. Candidates’ expectations include receiving “Yes” or “Always” ratings.  </w:t>
            </w:r>
          </w:p>
        </w:tc>
        <w:tc>
          <w:tcPr>
            <w:tcW w:w="4319" w:type="dxa"/>
            <w:shd w:val="clear" w:color="auto" w:fill="D0E0E3"/>
          </w:tcPr>
          <w:p w14:paraId="24E1FFCC" w14:textId="77777777" w:rsidR="00D55C1E" w:rsidRDefault="00EB0A4E">
            <w:pPr>
              <w:rPr>
                <w:rFonts w:ascii="Arial" w:eastAsia="Arial" w:hAnsi="Arial" w:cs="Arial"/>
                <w:sz w:val="22"/>
                <w:szCs w:val="22"/>
              </w:rPr>
            </w:pPr>
            <w:r>
              <w:rPr>
                <w:rFonts w:ascii="Arial" w:eastAsia="Arial" w:hAnsi="Arial" w:cs="Arial"/>
                <w:sz w:val="22"/>
                <w:szCs w:val="22"/>
              </w:rPr>
              <w:t>The majority of initial teacher education completers (n=204) successfully met the disposition expectations for Spring 2023. All indicator percentages were 90% or higher</w:t>
            </w:r>
            <w:r w:rsidR="00FE6CBA">
              <w:rPr>
                <w:rFonts w:ascii="Arial" w:eastAsia="Arial" w:hAnsi="Arial" w:cs="Arial"/>
                <w:sz w:val="22"/>
                <w:szCs w:val="22"/>
              </w:rPr>
              <w:t>,</w:t>
            </w:r>
            <w:r>
              <w:rPr>
                <w:rFonts w:ascii="Arial" w:eastAsia="Arial" w:hAnsi="Arial" w:cs="Arial"/>
                <w:sz w:val="22"/>
                <w:szCs w:val="22"/>
              </w:rPr>
              <w:t xml:space="preserve"> with the exception of one indicator (88%). Click </w:t>
            </w:r>
            <w:hyperlink r:id="rId15">
              <w:r>
                <w:rPr>
                  <w:rFonts w:ascii="Arial" w:eastAsia="Arial" w:hAnsi="Arial" w:cs="Arial"/>
                  <w:color w:val="1155CC"/>
                  <w:sz w:val="22"/>
                  <w:szCs w:val="22"/>
                  <w:u w:val="single"/>
                </w:rPr>
                <w:t>here</w:t>
              </w:r>
            </w:hyperlink>
            <w:r>
              <w:rPr>
                <w:rFonts w:ascii="Arial" w:eastAsia="Arial" w:hAnsi="Arial" w:cs="Arial"/>
                <w:sz w:val="22"/>
                <w:szCs w:val="22"/>
              </w:rPr>
              <w:t xml:space="preserve"> to view the final average FC/MCEE disposition scores.</w:t>
            </w:r>
          </w:p>
        </w:tc>
      </w:tr>
      <w:tr w:rsidR="00D55C1E" w14:paraId="45DB025F" w14:textId="77777777">
        <w:trPr>
          <w:trHeight w:val="61"/>
        </w:trPr>
        <w:tc>
          <w:tcPr>
            <w:tcW w:w="4318" w:type="dxa"/>
            <w:shd w:val="clear" w:color="auto" w:fill="D0E0E3"/>
          </w:tcPr>
          <w:p w14:paraId="7985095B" w14:textId="77777777" w:rsidR="00D55C1E" w:rsidRDefault="00EB0A4E">
            <w:pPr>
              <w:keepLines/>
              <w:rPr>
                <w:rFonts w:ascii="Arial" w:eastAsia="Arial" w:hAnsi="Arial" w:cs="Arial"/>
                <w:sz w:val="22"/>
                <w:szCs w:val="22"/>
              </w:rPr>
            </w:pPr>
            <w:r>
              <w:rPr>
                <w:rFonts w:ascii="Arial" w:eastAsia="Arial" w:hAnsi="Arial" w:cs="Arial"/>
                <w:sz w:val="22"/>
                <w:szCs w:val="22"/>
              </w:rPr>
              <w:t>Performance-Based Assessment (PBA)</w:t>
            </w:r>
          </w:p>
        </w:tc>
        <w:tc>
          <w:tcPr>
            <w:tcW w:w="4318" w:type="dxa"/>
            <w:shd w:val="clear" w:color="auto" w:fill="D0E0E3"/>
          </w:tcPr>
          <w:p w14:paraId="7FC4D274" w14:textId="77777777" w:rsidR="00D55C1E" w:rsidRDefault="00EB0A4E">
            <w:pPr>
              <w:keepLines/>
              <w:rPr>
                <w:rFonts w:ascii="Arial" w:eastAsia="Arial" w:hAnsi="Arial" w:cs="Arial"/>
                <w:sz w:val="22"/>
                <w:szCs w:val="22"/>
              </w:rPr>
            </w:pPr>
            <w:r>
              <w:rPr>
                <w:rFonts w:ascii="Arial" w:eastAsia="Arial" w:hAnsi="Arial" w:cs="Arial"/>
                <w:sz w:val="22"/>
                <w:szCs w:val="22"/>
              </w:rPr>
              <w:t>See the description in Table 3, Section 1.</w:t>
            </w:r>
          </w:p>
        </w:tc>
        <w:tc>
          <w:tcPr>
            <w:tcW w:w="4319" w:type="dxa"/>
            <w:shd w:val="clear" w:color="auto" w:fill="D0E0E3"/>
          </w:tcPr>
          <w:p w14:paraId="3CCAA9A5" w14:textId="77777777" w:rsidR="00D55C1E" w:rsidRDefault="00EB0A4E">
            <w:pPr>
              <w:rPr>
                <w:rFonts w:ascii="Arial" w:eastAsia="Arial" w:hAnsi="Arial" w:cs="Arial"/>
                <w:sz w:val="22"/>
                <w:szCs w:val="22"/>
              </w:rPr>
            </w:pPr>
            <w:r>
              <w:rPr>
                <w:rFonts w:ascii="Arial" w:eastAsia="Arial" w:hAnsi="Arial" w:cs="Arial"/>
                <w:sz w:val="22"/>
                <w:szCs w:val="22"/>
              </w:rPr>
              <w:t xml:space="preserve">The vast majority of completers (n=204) successfully met or exceeded the “meets expectations” benchmark for the Standard 2 Performance-Based indicators. A table showing the percentage of candidates who met the indicator for initial teacher education is available in Table 3 Standard </w:t>
            </w:r>
            <w:r>
              <w:rPr>
                <w:rFonts w:ascii="Arial" w:eastAsia="Arial" w:hAnsi="Arial" w:cs="Arial"/>
                <w:sz w:val="22"/>
                <w:szCs w:val="22"/>
              </w:rPr>
              <w:lastRenderedPageBreak/>
              <w:t>1. The data provided originates from final spring supervisor ratings. The data show that initial teacher completers for the Spring 2023 cohort successfully met the benchmark expectation.</w:t>
            </w:r>
          </w:p>
        </w:tc>
      </w:tr>
      <w:tr w:rsidR="00D55C1E" w14:paraId="4FA07115" w14:textId="77777777">
        <w:trPr>
          <w:trHeight w:val="21"/>
        </w:trPr>
        <w:tc>
          <w:tcPr>
            <w:tcW w:w="4318" w:type="dxa"/>
            <w:shd w:val="clear" w:color="auto" w:fill="D0E0E3"/>
          </w:tcPr>
          <w:p w14:paraId="7DF6D1C5" w14:textId="77777777" w:rsidR="00D55C1E" w:rsidRDefault="00EB0A4E">
            <w:pPr>
              <w:keepLines/>
              <w:rPr>
                <w:rFonts w:ascii="Arial" w:eastAsia="Arial" w:hAnsi="Arial" w:cs="Arial"/>
                <w:sz w:val="22"/>
                <w:szCs w:val="22"/>
              </w:rPr>
            </w:pPr>
            <w:proofErr w:type="spellStart"/>
            <w:r>
              <w:rPr>
                <w:rFonts w:ascii="Arial" w:eastAsia="Arial" w:hAnsi="Arial" w:cs="Arial"/>
                <w:sz w:val="22"/>
                <w:szCs w:val="22"/>
              </w:rPr>
              <w:lastRenderedPageBreak/>
              <w:t>edTPA</w:t>
            </w:r>
            <w:proofErr w:type="spellEnd"/>
          </w:p>
        </w:tc>
        <w:tc>
          <w:tcPr>
            <w:tcW w:w="4318" w:type="dxa"/>
            <w:shd w:val="clear" w:color="auto" w:fill="D0E0E3"/>
          </w:tcPr>
          <w:p w14:paraId="00DA7BEA" w14:textId="77777777" w:rsidR="00D55C1E" w:rsidRDefault="00EB0A4E">
            <w:pPr>
              <w:keepLines/>
              <w:rPr>
                <w:rFonts w:ascii="Arial" w:eastAsia="Arial" w:hAnsi="Arial" w:cs="Arial"/>
                <w:sz w:val="22"/>
                <w:szCs w:val="22"/>
              </w:rPr>
            </w:pPr>
            <w:r>
              <w:rPr>
                <w:rFonts w:ascii="Arial" w:eastAsia="Arial" w:hAnsi="Arial" w:cs="Arial"/>
                <w:sz w:val="22"/>
                <w:szCs w:val="22"/>
              </w:rPr>
              <w:t>See the description in Table 3, Section 1.</w:t>
            </w:r>
          </w:p>
        </w:tc>
        <w:tc>
          <w:tcPr>
            <w:tcW w:w="4319" w:type="dxa"/>
            <w:shd w:val="clear" w:color="auto" w:fill="D0E0E3"/>
          </w:tcPr>
          <w:p w14:paraId="58D07189" w14:textId="77777777" w:rsidR="00D55C1E" w:rsidRDefault="00EB0A4E">
            <w:pPr>
              <w:rPr>
                <w:rFonts w:ascii="Arial" w:eastAsia="Arial" w:hAnsi="Arial" w:cs="Arial"/>
                <w:sz w:val="22"/>
                <w:szCs w:val="22"/>
              </w:rPr>
            </w:pPr>
            <w:r>
              <w:rPr>
                <w:rFonts w:ascii="Arial" w:eastAsia="Arial" w:hAnsi="Arial" w:cs="Arial"/>
                <w:sz w:val="22"/>
                <w:szCs w:val="22"/>
              </w:rPr>
              <w:t xml:space="preserve">Data </w:t>
            </w:r>
            <w:r w:rsidR="00622585">
              <w:rPr>
                <w:rFonts w:ascii="Arial" w:eastAsia="Arial" w:hAnsi="Arial" w:cs="Arial"/>
                <w:sz w:val="22"/>
                <w:szCs w:val="22"/>
              </w:rPr>
              <w:t>are</w:t>
            </w:r>
            <w:r>
              <w:rPr>
                <w:rFonts w:ascii="Arial" w:eastAsia="Arial" w:hAnsi="Arial" w:cs="Arial"/>
                <w:sz w:val="22"/>
                <w:szCs w:val="22"/>
              </w:rPr>
              <w:t xml:space="preserve"> viewable in Table 3 of this report. All students in this data</w:t>
            </w:r>
            <w:r w:rsidR="00622585">
              <w:rPr>
                <w:rFonts w:ascii="Arial" w:eastAsia="Arial" w:hAnsi="Arial" w:cs="Arial"/>
                <w:sz w:val="22"/>
                <w:szCs w:val="22"/>
              </w:rPr>
              <w:t xml:space="preserve"> set</w:t>
            </w:r>
            <w:r>
              <w:rPr>
                <w:rFonts w:ascii="Arial" w:eastAsia="Arial" w:hAnsi="Arial" w:cs="Arial"/>
                <w:sz w:val="22"/>
                <w:szCs w:val="22"/>
              </w:rPr>
              <w:t xml:space="preserve"> completed the </w:t>
            </w:r>
            <w:proofErr w:type="spellStart"/>
            <w:r>
              <w:rPr>
                <w:rFonts w:ascii="Arial" w:eastAsia="Arial" w:hAnsi="Arial" w:cs="Arial"/>
                <w:sz w:val="22"/>
                <w:szCs w:val="22"/>
              </w:rPr>
              <w:t>edTPA</w:t>
            </w:r>
            <w:proofErr w:type="spellEnd"/>
            <w:r>
              <w:rPr>
                <w:rFonts w:ascii="Arial" w:eastAsia="Arial" w:hAnsi="Arial" w:cs="Arial"/>
                <w:sz w:val="22"/>
                <w:szCs w:val="22"/>
              </w:rPr>
              <w:t xml:space="preserve"> successfully and met the 2022-23 MSDE criteria.  </w:t>
            </w:r>
          </w:p>
        </w:tc>
      </w:tr>
      <w:tr w:rsidR="00D55C1E" w14:paraId="43A71242" w14:textId="77777777">
        <w:trPr>
          <w:trHeight w:val="21"/>
        </w:trPr>
        <w:tc>
          <w:tcPr>
            <w:tcW w:w="4318" w:type="dxa"/>
            <w:shd w:val="clear" w:color="auto" w:fill="D0E0E3"/>
          </w:tcPr>
          <w:p w14:paraId="591F0F8A" w14:textId="77777777" w:rsidR="00D55C1E" w:rsidRDefault="00EB0A4E">
            <w:pPr>
              <w:keepLines/>
            </w:pPr>
            <w:r>
              <w:rPr>
                <w:rFonts w:ascii="Arial" w:eastAsia="Arial" w:hAnsi="Arial" w:cs="Arial"/>
                <w:sz w:val="22"/>
                <w:szCs w:val="22"/>
              </w:rPr>
              <w:t>Exit Survey</w:t>
            </w:r>
          </w:p>
        </w:tc>
        <w:tc>
          <w:tcPr>
            <w:tcW w:w="4318" w:type="dxa"/>
            <w:shd w:val="clear" w:color="auto" w:fill="D0E0E3"/>
          </w:tcPr>
          <w:p w14:paraId="17A403F7" w14:textId="77777777" w:rsidR="00D55C1E" w:rsidRDefault="00EB0A4E">
            <w:pPr>
              <w:keepLines/>
            </w:pPr>
            <w:r>
              <w:rPr>
                <w:rFonts w:ascii="Arial" w:eastAsia="Arial" w:hAnsi="Arial" w:cs="Arial"/>
                <w:sz w:val="22"/>
                <w:szCs w:val="22"/>
              </w:rPr>
              <w:t>See the description in Table 3, Section 1.</w:t>
            </w:r>
          </w:p>
        </w:tc>
        <w:tc>
          <w:tcPr>
            <w:tcW w:w="4319" w:type="dxa"/>
            <w:shd w:val="clear" w:color="auto" w:fill="D0E0E3"/>
          </w:tcPr>
          <w:p w14:paraId="0A38E49D" w14:textId="77777777" w:rsidR="00D55C1E" w:rsidRDefault="00EB0A4E">
            <w:r>
              <w:rPr>
                <w:rFonts w:ascii="Arial" w:eastAsia="Arial" w:hAnsi="Arial" w:cs="Arial"/>
                <w:sz w:val="22"/>
                <w:szCs w:val="22"/>
              </w:rPr>
              <w:t>The survey evidence is viewable in Table 2</w:t>
            </w:r>
            <w:r w:rsidR="00FE6CBA">
              <w:rPr>
                <w:rFonts w:ascii="Arial" w:eastAsia="Arial" w:hAnsi="Arial" w:cs="Arial"/>
                <w:sz w:val="22"/>
                <w:szCs w:val="22"/>
              </w:rPr>
              <w:t>: Program</w:t>
            </w:r>
            <w:r>
              <w:rPr>
                <w:rFonts w:ascii="Arial" w:eastAsia="Arial" w:hAnsi="Arial" w:cs="Arial"/>
                <w:sz w:val="22"/>
                <w:szCs w:val="22"/>
              </w:rPr>
              <w:t xml:space="preserve"> Performance Indicators</w:t>
            </w:r>
            <w:r w:rsidR="00FE6CBA">
              <w:rPr>
                <w:rFonts w:ascii="Arial" w:eastAsia="Arial" w:hAnsi="Arial" w:cs="Arial"/>
                <w:sz w:val="22"/>
                <w:szCs w:val="22"/>
              </w:rPr>
              <w:t xml:space="preserve"> appear in </w:t>
            </w:r>
            <w:r>
              <w:rPr>
                <w:rFonts w:ascii="Arial" w:eastAsia="Arial" w:hAnsi="Arial" w:cs="Arial"/>
                <w:sz w:val="22"/>
                <w:szCs w:val="22"/>
              </w:rPr>
              <w:t>question F.</w:t>
            </w:r>
          </w:p>
        </w:tc>
      </w:tr>
    </w:tbl>
    <w:p w14:paraId="7B7442CB" w14:textId="77777777" w:rsidR="00D55C1E" w:rsidRDefault="00D55C1E"/>
    <w:p w14:paraId="36335743" w14:textId="77777777" w:rsidR="00D55C1E" w:rsidRDefault="00EB0A4E">
      <w:pPr>
        <w:keepNext/>
        <w:numPr>
          <w:ilvl w:val="0"/>
          <w:numId w:val="6"/>
        </w:numPr>
        <w:spacing w:before="120" w:after="120"/>
        <w:ind w:left="360"/>
        <w:rPr>
          <w:b/>
        </w:rPr>
      </w:pPr>
      <w:r>
        <w:rPr>
          <w:b/>
          <w:sz w:val="28"/>
          <w:szCs w:val="28"/>
        </w:rPr>
        <w:t>Notes on Progress, Accomplishment, and Innovation</w:t>
      </w:r>
    </w:p>
    <w:p w14:paraId="6AA7865F" w14:textId="77777777" w:rsidR="00D55C1E" w:rsidRDefault="00EB0A4E">
      <w:pPr>
        <w:spacing w:after="200"/>
        <w:rPr>
          <w:strike/>
          <w:highlight w:val="yellow"/>
        </w:rPr>
      </w:pPr>
      <w:r>
        <w:t xml:space="preserve">This section describes program accomplishments, efforts, and innovations (strengths and outcomes) to address challenges and priorities over the past year. </w:t>
      </w:r>
    </w:p>
    <w:tbl>
      <w:tblPr>
        <w:tblStyle w:val="aa"/>
        <w:tblW w:w="12915" w:type="dxa"/>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2915"/>
      </w:tblGrid>
      <w:tr w:rsidR="00D55C1E" w14:paraId="11F450E8" w14:textId="77777777">
        <w:trPr>
          <w:trHeight w:val="970"/>
        </w:trPr>
        <w:tc>
          <w:tcPr>
            <w:tcW w:w="12915" w:type="dxa"/>
            <w:shd w:val="clear" w:color="auto" w:fill="D0E0E3"/>
            <w:tcMar>
              <w:top w:w="100" w:type="dxa"/>
              <w:left w:w="100" w:type="dxa"/>
              <w:bottom w:w="100" w:type="dxa"/>
              <w:right w:w="100" w:type="dxa"/>
            </w:tcMar>
          </w:tcPr>
          <w:p w14:paraId="37DACCF8" w14:textId="77777777" w:rsidR="00D55C1E" w:rsidRDefault="00EB0A4E">
            <w:pPr>
              <w:pBdr>
                <w:top w:val="nil"/>
                <w:left w:val="nil"/>
                <w:bottom w:val="nil"/>
                <w:right w:val="nil"/>
                <w:between w:val="nil"/>
              </w:pBdr>
              <w:rPr>
                <w:rFonts w:ascii="Arial" w:eastAsia="Arial" w:hAnsi="Arial" w:cs="Arial"/>
                <w:b/>
              </w:rPr>
            </w:pPr>
            <w:r>
              <w:rPr>
                <w:rFonts w:ascii="Arial" w:eastAsia="Arial" w:hAnsi="Arial" w:cs="Arial"/>
                <w:b/>
              </w:rPr>
              <w:t>Diversity, Equity &amp; Inclusion</w:t>
            </w:r>
          </w:p>
          <w:p w14:paraId="5FF6137E" w14:textId="77777777" w:rsidR="00D55C1E" w:rsidRDefault="00D55C1E">
            <w:pPr>
              <w:pBdr>
                <w:top w:val="nil"/>
                <w:left w:val="nil"/>
                <w:bottom w:val="nil"/>
                <w:right w:val="nil"/>
                <w:between w:val="nil"/>
              </w:pBdr>
              <w:rPr>
                <w:rFonts w:ascii="Calibri" w:eastAsia="Calibri" w:hAnsi="Calibri" w:cs="Calibri"/>
                <w:b/>
                <w:sz w:val="28"/>
                <w:szCs w:val="28"/>
              </w:rPr>
            </w:pPr>
          </w:p>
          <w:p w14:paraId="7E56BAF6" w14:textId="77777777" w:rsidR="00D55C1E" w:rsidRDefault="00EB0A4E">
            <w:pPr>
              <w:numPr>
                <w:ilvl w:val="0"/>
                <w:numId w:val="9"/>
              </w:numPr>
              <w:rPr>
                <w:rFonts w:ascii="Arial" w:eastAsia="Arial" w:hAnsi="Arial" w:cs="Arial"/>
                <w:sz w:val="22"/>
                <w:szCs w:val="22"/>
              </w:rPr>
            </w:pPr>
            <w:proofErr w:type="spellStart"/>
            <w:r>
              <w:rPr>
                <w:rFonts w:ascii="Arial" w:eastAsia="Arial" w:hAnsi="Arial" w:cs="Arial"/>
                <w:b/>
                <w:sz w:val="22"/>
                <w:szCs w:val="22"/>
              </w:rPr>
              <w:t>EdTerps</w:t>
            </w:r>
            <w:proofErr w:type="spellEnd"/>
            <w:r>
              <w:rPr>
                <w:rFonts w:ascii="Arial" w:eastAsia="Arial" w:hAnsi="Arial" w:cs="Arial"/>
                <w:b/>
                <w:sz w:val="22"/>
                <w:szCs w:val="22"/>
              </w:rPr>
              <w:t xml:space="preserve"> - Transforming Education for Good</w:t>
            </w:r>
            <w:r>
              <w:rPr>
                <w:rFonts w:ascii="Arial" w:eastAsia="Arial" w:hAnsi="Arial" w:cs="Arial"/>
                <w:b/>
                <w:i/>
                <w:sz w:val="22"/>
                <w:szCs w:val="22"/>
              </w:rPr>
              <w:t>:</w:t>
            </w:r>
            <w:r>
              <w:rPr>
                <w:rFonts w:ascii="Arial" w:eastAsia="Arial" w:hAnsi="Arial" w:cs="Arial"/>
                <w:sz w:val="22"/>
                <w:szCs w:val="22"/>
              </w:rPr>
              <w:t xml:space="preserve"> A community of faculty, staff, alumni, and students committed to advancing </w:t>
            </w:r>
            <w:r>
              <w:rPr>
                <w:rFonts w:ascii="Arial" w:eastAsia="Arial" w:hAnsi="Arial" w:cs="Arial"/>
                <w:b/>
                <w:sz w:val="22"/>
                <w:szCs w:val="22"/>
              </w:rPr>
              <w:t>equity and social justice</w:t>
            </w:r>
            <w:r>
              <w:rPr>
                <w:rFonts w:ascii="Arial" w:eastAsia="Arial" w:hAnsi="Arial" w:cs="Arial"/>
                <w:sz w:val="22"/>
                <w:szCs w:val="22"/>
              </w:rPr>
              <w:t xml:space="preserve"> through research and innovation in teaching and learning, policy, counseling, human development, and psychology. </w:t>
            </w:r>
            <w:proofErr w:type="spellStart"/>
            <w:r>
              <w:rPr>
                <w:rFonts w:ascii="Arial" w:eastAsia="Arial" w:hAnsi="Arial" w:cs="Arial"/>
                <w:sz w:val="22"/>
                <w:szCs w:val="22"/>
              </w:rPr>
              <w:t>EdTerps</w:t>
            </w:r>
            <w:proofErr w:type="spellEnd"/>
            <w:r>
              <w:rPr>
                <w:rFonts w:ascii="Arial" w:eastAsia="Arial" w:hAnsi="Arial" w:cs="Arial"/>
                <w:sz w:val="22"/>
                <w:szCs w:val="22"/>
              </w:rPr>
              <w:t xml:space="preserve"> strives to improve lives and communities, emphasizing teaching/incorporating equity and social justice throughout all COE classes and programs to shape future educators across the unit. The College of Education is shaping the next generation of fearless leaders and learners. Backed by a rigorous research enterprise, strong partnerships with federal and state agencies, and unparalleled access to diverse school districts that provide early in-field experience, </w:t>
            </w:r>
            <w:proofErr w:type="spellStart"/>
            <w:r>
              <w:rPr>
                <w:rFonts w:ascii="Arial" w:eastAsia="Arial" w:hAnsi="Arial" w:cs="Arial"/>
                <w:sz w:val="22"/>
                <w:szCs w:val="22"/>
              </w:rPr>
              <w:t>EdTerps</w:t>
            </w:r>
            <w:proofErr w:type="spellEnd"/>
            <w:r>
              <w:rPr>
                <w:rFonts w:ascii="Arial" w:eastAsia="Arial" w:hAnsi="Arial" w:cs="Arial"/>
                <w:sz w:val="22"/>
                <w:szCs w:val="22"/>
              </w:rPr>
              <w:t xml:space="preserve"> are uniquely positioned to transform education for good.</w:t>
            </w:r>
          </w:p>
          <w:p w14:paraId="604F68AD" w14:textId="77777777" w:rsidR="00D55C1E" w:rsidRDefault="00D55C1E">
            <w:pPr>
              <w:rPr>
                <w:rFonts w:ascii="Arial" w:eastAsia="Arial" w:hAnsi="Arial" w:cs="Arial"/>
                <w:sz w:val="22"/>
                <w:szCs w:val="22"/>
              </w:rPr>
            </w:pPr>
          </w:p>
          <w:p w14:paraId="616F91AF" w14:textId="77777777" w:rsidR="00D55C1E" w:rsidRDefault="00EB0A4E">
            <w:pPr>
              <w:numPr>
                <w:ilvl w:val="0"/>
                <w:numId w:val="17"/>
              </w:numPr>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 xml:space="preserve">Recruitment: </w:t>
            </w:r>
            <w:r>
              <w:rPr>
                <w:rFonts w:ascii="Arial" w:eastAsia="Arial" w:hAnsi="Arial" w:cs="Arial"/>
                <w:sz w:val="22"/>
                <w:szCs w:val="22"/>
              </w:rPr>
              <w:t xml:space="preserve">The College of Education Recruitment Advisory Board implements innovative recruitment strategies addressing declining enrollment and retaining a diverse student body. It primarily utilizes scholarship funds to attract and yield rising seniors, transfer students, and college graduates to its teacher certification programs. The recruitment and scholarship funding for Maryland resident students targeting critical teacher shortage areas, under-represented minority students, and first-generation students pursuing teacher education is emphasized, supporting the Pillars of the Maryland </w:t>
            </w:r>
            <w:r>
              <w:rPr>
                <w:rFonts w:ascii="Arial" w:eastAsia="Arial" w:hAnsi="Arial" w:cs="Arial"/>
                <w:sz w:val="22"/>
                <w:szCs w:val="22"/>
              </w:rPr>
              <w:lastRenderedPageBreak/>
              <w:t xml:space="preserve">State Department of Education’s Blueprint for Maryland’s Future. The College of Education also collaborates with community colleges and high schools to attract a diverse pool of applicants. Improvements to the recruitment process include utilizing faculty involvement for holistic recruitment planning, highlighting quality faculty, funding opportunities, and world-class experiences, implementing data management for targeted outreach and analysis, and planning activities, travel, and timelines for effective recruitment cycles. Strategies </w:t>
            </w:r>
            <w:r w:rsidR="00FE6CBA">
              <w:rPr>
                <w:rFonts w:ascii="Arial" w:eastAsia="Arial" w:hAnsi="Arial" w:cs="Arial"/>
                <w:sz w:val="22"/>
                <w:szCs w:val="22"/>
              </w:rPr>
              <w:t xml:space="preserve">for </w:t>
            </w:r>
            <w:r>
              <w:rPr>
                <w:rFonts w:ascii="Arial" w:eastAsia="Arial" w:hAnsi="Arial" w:cs="Arial"/>
                <w:sz w:val="22"/>
                <w:szCs w:val="22"/>
              </w:rPr>
              <w:t>future</w:t>
            </w:r>
            <w:r w:rsidR="00FE6CBA">
              <w:rPr>
                <w:rFonts w:ascii="Arial" w:eastAsia="Arial" w:hAnsi="Arial" w:cs="Arial"/>
                <w:sz w:val="22"/>
                <w:szCs w:val="22"/>
              </w:rPr>
              <w:t xml:space="preserve"> implementation</w:t>
            </w:r>
            <w:r>
              <w:rPr>
                <w:rFonts w:ascii="Arial" w:eastAsia="Arial" w:hAnsi="Arial" w:cs="Arial"/>
                <w:sz w:val="22"/>
                <w:szCs w:val="22"/>
              </w:rPr>
              <w:t xml:space="preserve"> include student-managed and </w:t>
            </w:r>
            <w:r w:rsidR="00FE6CBA">
              <w:rPr>
                <w:rFonts w:ascii="Arial" w:eastAsia="Arial" w:hAnsi="Arial" w:cs="Arial"/>
                <w:sz w:val="22"/>
                <w:szCs w:val="22"/>
              </w:rPr>
              <w:t>alum</w:t>
            </w:r>
            <w:r>
              <w:rPr>
                <w:rFonts w:ascii="Arial" w:eastAsia="Arial" w:hAnsi="Arial" w:cs="Arial"/>
                <w:sz w:val="22"/>
                <w:szCs w:val="22"/>
              </w:rPr>
              <w:t xml:space="preserve"> stories blogs, enhancing online presence, strengthening partnerships with community colleges, Teacher Academy of Maryland (TAM) programs, </w:t>
            </w:r>
            <w:r w:rsidR="00FE6CBA">
              <w:rPr>
                <w:rFonts w:ascii="Arial" w:eastAsia="Arial" w:hAnsi="Arial" w:cs="Arial"/>
                <w:sz w:val="22"/>
                <w:szCs w:val="22"/>
              </w:rPr>
              <w:t>alum</w:t>
            </w:r>
            <w:r>
              <w:rPr>
                <w:rFonts w:ascii="Arial" w:eastAsia="Arial" w:hAnsi="Arial" w:cs="Arial"/>
                <w:sz w:val="22"/>
                <w:szCs w:val="22"/>
              </w:rPr>
              <w:t xml:space="preserve"> connections, and utilizing LinkedIn for success stories and employability data. With these implementations, the College of Education aims to address declining enrollment by attracting, recruiting, and retaining a diverse, highly qualified student body well-prepared for the teacher workforce.</w:t>
            </w:r>
          </w:p>
          <w:p w14:paraId="1034C271" w14:textId="77777777" w:rsidR="00D55C1E" w:rsidRDefault="00D55C1E">
            <w:pPr>
              <w:pBdr>
                <w:top w:val="nil"/>
                <w:left w:val="nil"/>
                <w:bottom w:val="nil"/>
                <w:right w:val="nil"/>
                <w:between w:val="nil"/>
              </w:pBdr>
              <w:ind w:left="720"/>
              <w:rPr>
                <w:rFonts w:ascii="Arial" w:eastAsia="Arial" w:hAnsi="Arial" w:cs="Arial"/>
                <w:b/>
                <w:sz w:val="22"/>
                <w:szCs w:val="22"/>
              </w:rPr>
            </w:pPr>
          </w:p>
          <w:p w14:paraId="531410B0" w14:textId="77777777" w:rsidR="00D55C1E" w:rsidRDefault="00EB0A4E">
            <w:pPr>
              <w:numPr>
                <w:ilvl w:val="0"/>
                <w:numId w:val="17"/>
              </w:numPr>
              <w:pBdr>
                <w:top w:val="nil"/>
                <w:left w:val="nil"/>
                <w:bottom w:val="nil"/>
                <w:right w:val="nil"/>
                <w:between w:val="nil"/>
              </w:pBdr>
              <w:rPr>
                <w:rFonts w:ascii="Calibri" w:eastAsia="Calibri" w:hAnsi="Calibri" w:cs="Calibri"/>
                <w:b/>
                <w:sz w:val="22"/>
                <w:szCs w:val="22"/>
              </w:rPr>
            </w:pPr>
            <w:bookmarkStart w:id="1" w:name="_heading=h.1fob9te" w:colFirst="0" w:colLast="0"/>
            <w:bookmarkEnd w:id="1"/>
            <w:r>
              <w:rPr>
                <w:rFonts w:ascii="Arial" w:eastAsia="Arial" w:hAnsi="Arial" w:cs="Arial"/>
                <w:b/>
                <w:sz w:val="22"/>
                <w:szCs w:val="22"/>
              </w:rPr>
              <w:t>COREJ</w:t>
            </w:r>
            <w:r>
              <w:rPr>
                <w:rFonts w:ascii="Arial" w:eastAsia="Arial" w:hAnsi="Arial" w:cs="Arial"/>
                <w:sz w:val="22"/>
                <w:szCs w:val="22"/>
              </w:rPr>
              <w:t xml:space="preserve">: The Council on Racial Equity &amp; Justice (pronounced COURAGE) will continue to work on the equity audit, collecting data to review the experiences of students, faculty, and staff of Color to implement change and recommendations based on the student study. Dr. Bridget Turner Kelly and Dr. Olivia hosted a COREJ event in March 2023 about Difficult Dialogues on Antiracism: Faculty and Staff Dialogue to help advance the College culture of belonging and inclusiveness. Progress monitoring toward eradicating structural bias will happen collaboratively by the Dean’s Office, faculty, staff, and student groups (e.g., Faculty of Color, Staff Affairs Committee, Senate). This year, the council will focus on the experiences of faculty and staff of Color. </w:t>
            </w:r>
          </w:p>
          <w:p w14:paraId="43D10D26" w14:textId="77777777" w:rsidR="00D55C1E" w:rsidRDefault="00D55C1E">
            <w:pPr>
              <w:pBdr>
                <w:top w:val="nil"/>
                <w:left w:val="nil"/>
                <w:bottom w:val="nil"/>
                <w:right w:val="nil"/>
                <w:between w:val="nil"/>
              </w:pBdr>
              <w:rPr>
                <w:rFonts w:ascii="Arial" w:eastAsia="Arial" w:hAnsi="Arial" w:cs="Arial"/>
                <w:sz w:val="22"/>
                <w:szCs w:val="22"/>
              </w:rPr>
            </w:pPr>
          </w:p>
          <w:p w14:paraId="45F24325" w14:textId="77777777" w:rsidR="00D55C1E" w:rsidRDefault="00EB0A4E">
            <w:pPr>
              <w:numPr>
                <w:ilvl w:val="0"/>
                <w:numId w:val="7"/>
              </w:numPr>
              <w:pBdr>
                <w:top w:val="nil"/>
                <w:left w:val="nil"/>
                <w:bottom w:val="nil"/>
                <w:right w:val="nil"/>
                <w:between w:val="nil"/>
              </w:pBdr>
              <w:rPr>
                <w:rFonts w:ascii="Arial" w:eastAsia="Arial" w:hAnsi="Arial" w:cs="Arial"/>
                <w:sz w:val="22"/>
                <w:szCs w:val="22"/>
              </w:rPr>
            </w:pPr>
            <w:r>
              <w:rPr>
                <w:rFonts w:ascii="Arial" w:eastAsia="Arial" w:hAnsi="Arial" w:cs="Arial"/>
                <w:b/>
                <w:sz w:val="22"/>
                <w:szCs w:val="22"/>
              </w:rPr>
              <w:t>Dean’s Lecture Series</w:t>
            </w:r>
            <w:r>
              <w:rPr>
                <w:rFonts w:ascii="Arial" w:eastAsia="Arial" w:hAnsi="Arial" w:cs="Arial"/>
                <w:sz w:val="22"/>
                <w:szCs w:val="22"/>
              </w:rPr>
              <w:t>: The University of Maryland College of Education Dean's Lecture Series supplies a forum for faculty, staff, students, alums, and community members to engage with academic leaders and scholars nationwide. The series brings experts from various fields to the University to share their experiences and insights, fostering meaningful dialogue around the grand challenges we face in education and society. The series is integral to the College's efforts to promote learning, development, well-being, equity, and social justice.</w:t>
            </w:r>
          </w:p>
          <w:p w14:paraId="7A06C232" w14:textId="77777777" w:rsidR="00D55C1E" w:rsidRDefault="00D55C1E">
            <w:pPr>
              <w:pBdr>
                <w:top w:val="nil"/>
                <w:left w:val="nil"/>
                <w:bottom w:val="nil"/>
                <w:right w:val="nil"/>
                <w:between w:val="nil"/>
              </w:pBdr>
              <w:ind w:left="720"/>
              <w:rPr>
                <w:rFonts w:ascii="Arial" w:eastAsia="Arial" w:hAnsi="Arial" w:cs="Arial"/>
                <w:sz w:val="22"/>
                <w:szCs w:val="22"/>
              </w:rPr>
            </w:pPr>
          </w:p>
          <w:p w14:paraId="7054FD9C" w14:textId="77777777" w:rsidR="00D55C1E" w:rsidRDefault="00EB0A4E">
            <w:pPr>
              <w:pBdr>
                <w:top w:val="nil"/>
                <w:left w:val="nil"/>
                <w:bottom w:val="nil"/>
                <w:right w:val="nil"/>
                <w:between w:val="nil"/>
              </w:pBdr>
              <w:rPr>
                <w:rFonts w:ascii="Arial" w:eastAsia="Arial" w:hAnsi="Arial" w:cs="Arial"/>
                <w:b/>
              </w:rPr>
            </w:pPr>
            <w:r>
              <w:rPr>
                <w:rFonts w:ascii="Arial" w:eastAsia="Arial" w:hAnsi="Arial" w:cs="Arial"/>
                <w:b/>
              </w:rPr>
              <w:t>Faculty Accomplishments, Awards, and Grants</w:t>
            </w:r>
          </w:p>
          <w:p w14:paraId="079236D9" w14:textId="77777777" w:rsidR="00D55C1E" w:rsidRDefault="00D55C1E">
            <w:pPr>
              <w:pBdr>
                <w:top w:val="nil"/>
                <w:left w:val="nil"/>
                <w:bottom w:val="nil"/>
                <w:right w:val="nil"/>
                <w:between w:val="nil"/>
              </w:pBdr>
              <w:rPr>
                <w:rFonts w:ascii="Arial" w:eastAsia="Arial" w:hAnsi="Arial" w:cs="Arial"/>
                <w:b/>
                <w:sz w:val="22"/>
                <w:szCs w:val="22"/>
              </w:rPr>
            </w:pPr>
          </w:p>
          <w:p w14:paraId="0F4EC8F9" w14:textId="77777777" w:rsidR="00D55C1E" w:rsidRDefault="00EB0A4E">
            <w:pPr>
              <w:numPr>
                <w:ilvl w:val="0"/>
                <w:numId w:val="31"/>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Doug Lombardi &amp; Sarah McGrew (HDQM) Received a $1.4 million grant from the National Science Foundation to research middle and high school students’ reasoning and learning about controversial topics related to fossil fuel use, environmental sustainability, and the climate crisis</w:t>
            </w:r>
            <w:r w:rsidR="00F35C35">
              <w:rPr>
                <w:rFonts w:ascii="Arial" w:eastAsia="Arial" w:hAnsi="Arial" w:cs="Arial"/>
                <w:sz w:val="22"/>
                <w:szCs w:val="22"/>
              </w:rPr>
              <w:t>.</w:t>
            </w:r>
          </w:p>
          <w:p w14:paraId="5C80BD64" w14:textId="77777777" w:rsidR="00D55C1E" w:rsidRDefault="00D55C1E">
            <w:pPr>
              <w:pBdr>
                <w:top w:val="nil"/>
                <w:left w:val="nil"/>
                <w:bottom w:val="nil"/>
                <w:right w:val="nil"/>
                <w:between w:val="nil"/>
              </w:pBdr>
              <w:rPr>
                <w:rFonts w:ascii="Arial" w:eastAsia="Arial" w:hAnsi="Arial" w:cs="Arial"/>
                <w:sz w:val="22"/>
                <w:szCs w:val="22"/>
              </w:rPr>
            </w:pPr>
          </w:p>
          <w:p w14:paraId="51EE835D" w14:textId="77777777" w:rsidR="00D55C1E" w:rsidRDefault="00EB0A4E">
            <w:pPr>
              <w:numPr>
                <w:ilvl w:val="0"/>
                <w:numId w:val="30"/>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Christy Tirrell-Corbin (HDQM), Ana Taboada Barber (CHSE), Jade Wexler (CHSE), Jason Chow (CHSE), Susan De La Paz (CHSE), Veronica Kang (CHSE), Donald Bolger (HDQM), Rachel Romeo (HDQM), Ebony Terrell Shockley (TLPL),  Ayanna </w:t>
            </w:r>
            <w:proofErr w:type="spellStart"/>
            <w:r>
              <w:rPr>
                <w:rFonts w:ascii="Arial" w:eastAsia="Arial" w:hAnsi="Arial" w:cs="Arial"/>
                <w:sz w:val="22"/>
                <w:szCs w:val="22"/>
              </w:rPr>
              <w:t>Baccus</w:t>
            </w:r>
            <w:proofErr w:type="spellEnd"/>
            <w:r>
              <w:rPr>
                <w:rFonts w:ascii="Arial" w:eastAsia="Arial" w:hAnsi="Arial" w:cs="Arial"/>
                <w:sz w:val="22"/>
                <w:szCs w:val="22"/>
              </w:rPr>
              <w:t xml:space="preserve"> (TLPL), Drew Fagan (TLPL), Jeff </w:t>
            </w:r>
            <w:proofErr w:type="spellStart"/>
            <w:r>
              <w:rPr>
                <w:rFonts w:ascii="Arial" w:eastAsia="Arial" w:hAnsi="Arial" w:cs="Arial"/>
                <w:sz w:val="22"/>
                <w:szCs w:val="22"/>
              </w:rPr>
              <w:t>MacSwan</w:t>
            </w:r>
            <w:proofErr w:type="spellEnd"/>
            <w:r>
              <w:rPr>
                <w:rFonts w:ascii="Arial" w:eastAsia="Arial" w:hAnsi="Arial" w:cs="Arial"/>
                <w:sz w:val="22"/>
                <w:szCs w:val="22"/>
              </w:rPr>
              <w:t xml:space="preserve"> (TLPL), Jennifer Turner (TLPL), Kellie </w:t>
            </w:r>
            <w:proofErr w:type="spellStart"/>
            <w:r>
              <w:rPr>
                <w:rFonts w:ascii="Arial" w:eastAsia="Arial" w:hAnsi="Arial" w:cs="Arial"/>
                <w:sz w:val="22"/>
                <w:szCs w:val="22"/>
              </w:rPr>
              <w:t>Rolstad</w:t>
            </w:r>
            <w:proofErr w:type="spellEnd"/>
            <w:r>
              <w:rPr>
                <w:rFonts w:ascii="Arial" w:eastAsia="Arial" w:hAnsi="Arial" w:cs="Arial"/>
                <w:sz w:val="22"/>
                <w:szCs w:val="22"/>
              </w:rPr>
              <w:t xml:space="preserve"> (TLPL),  Maggie Peterson (TLPL), Melinda Martin-Beltran (TLPL): Received the  </w:t>
            </w:r>
            <w:r>
              <w:rPr>
                <w:rFonts w:ascii="Arial" w:eastAsia="Arial" w:hAnsi="Arial" w:cs="Arial"/>
                <w:b/>
                <w:sz w:val="22"/>
                <w:szCs w:val="22"/>
              </w:rPr>
              <w:t>Maryland Initiative for Literacy &amp; Equity (MILE) Institutional Grant</w:t>
            </w:r>
            <w:r>
              <w:rPr>
                <w:rFonts w:ascii="Arial" w:eastAsia="Arial" w:hAnsi="Arial" w:cs="Arial"/>
                <w:sz w:val="22"/>
                <w:szCs w:val="22"/>
              </w:rPr>
              <w:t xml:space="preserve">. This initiative aims to combat persistent illiteracy in Maryland and the surrounding region, especially among marginalized populations, through research, education, professional development, and community and policy </w:t>
            </w:r>
            <w:r>
              <w:rPr>
                <w:rFonts w:ascii="Arial" w:eastAsia="Arial" w:hAnsi="Arial" w:cs="Arial"/>
                <w:sz w:val="22"/>
                <w:szCs w:val="22"/>
              </w:rPr>
              <w:lastRenderedPageBreak/>
              <w:t>outreach. The initiative intends to break down silos by bringing together brain and behavioral researchers, teachers, speech pathologists, librarians, policymakers, and community members. The grant is in partnership with other colleges at the University. It is co-directed by Donald J. Bolger, associate professor at UMD's College of Education, and Simone Gibson, associate professor at Morgan State University's School of Education and Urban Studies</w:t>
            </w:r>
            <w:r w:rsidR="00FE6CBA">
              <w:rPr>
                <w:rFonts w:ascii="Arial" w:eastAsia="Arial" w:hAnsi="Arial" w:cs="Arial"/>
                <w:sz w:val="22"/>
                <w:szCs w:val="22"/>
              </w:rPr>
              <w:t>.</w:t>
            </w:r>
          </w:p>
          <w:p w14:paraId="46325F0D" w14:textId="77777777" w:rsidR="00D55C1E" w:rsidRDefault="00D55C1E">
            <w:pPr>
              <w:pBdr>
                <w:top w:val="nil"/>
                <w:left w:val="nil"/>
                <w:bottom w:val="nil"/>
                <w:right w:val="nil"/>
                <w:between w:val="nil"/>
              </w:pBdr>
              <w:rPr>
                <w:rFonts w:ascii="Arial" w:eastAsia="Arial" w:hAnsi="Arial" w:cs="Arial"/>
                <w:sz w:val="22"/>
                <w:szCs w:val="22"/>
              </w:rPr>
            </w:pPr>
          </w:p>
          <w:p w14:paraId="15754E84" w14:textId="77777777" w:rsidR="00D55C1E" w:rsidRDefault="00EB0A4E">
            <w:pPr>
              <w:numPr>
                <w:ilvl w:val="0"/>
                <w:numId w:val="25"/>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Lena </w:t>
            </w:r>
            <w:proofErr w:type="spellStart"/>
            <w:r>
              <w:rPr>
                <w:rFonts w:ascii="Arial" w:eastAsia="Arial" w:hAnsi="Arial" w:cs="Arial"/>
                <w:sz w:val="22"/>
                <w:szCs w:val="22"/>
              </w:rPr>
              <w:t>Morreale</w:t>
            </w:r>
            <w:proofErr w:type="spellEnd"/>
            <w:r>
              <w:rPr>
                <w:rFonts w:ascii="Arial" w:eastAsia="Arial" w:hAnsi="Arial" w:cs="Arial"/>
                <w:sz w:val="22"/>
                <w:szCs w:val="22"/>
              </w:rPr>
              <w:t xml:space="preserve"> Scott (EDUC), Doug Lombardi (HDQM), Lucas Payne Butler (HDQM), Sarah McGrew (TLPL)</w:t>
            </w:r>
            <w:r>
              <w:rPr>
                <w:rFonts w:ascii="Arial" w:eastAsia="Arial" w:hAnsi="Arial" w:cs="Arial"/>
                <w:b/>
                <w:sz w:val="22"/>
                <w:szCs w:val="22"/>
              </w:rPr>
              <w:t xml:space="preserve"> Impact Award: Maryland Democracy Initiative</w:t>
            </w:r>
            <w:r>
              <w:rPr>
                <w:rFonts w:ascii="Arial" w:eastAsia="Arial" w:hAnsi="Arial" w:cs="Arial"/>
                <w:sz w:val="22"/>
                <w:szCs w:val="22"/>
              </w:rPr>
              <w:t>.  This initiative strives to strengthen democracy by expanding research on civic engagement and voter trends, offering innovative teaching and learning opportunities for educators, and hosting events to promote democratic participation.  This award is in partnership with additional colleges at the university.</w:t>
            </w:r>
          </w:p>
          <w:p w14:paraId="5051DACB" w14:textId="77777777" w:rsidR="00D55C1E" w:rsidRDefault="00D55C1E">
            <w:pPr>
              <w:pBdr>
                <w:top w:val="nil"/>
                <w:left w:val="nil"/>
                <w:bottom w:val="nil"/>
                <w:right w:val="nil"/>
                <w:between w:val="nil"/>
              </w:pBdr>
              <w:rPr>
                <w:rFonts w:ascii="Arial" w:eastAsia="Arial" w:hAnsi="Arial" w:cs="Arial"/>
                <w:sz w:val="22"/>
                <w:szCs w:val="22"/>
              </w:rPr>
            </w:pPr>
          </w:p>
          <w:p w14:paraId="6F438A77" w14:textId="77777777" w:rsidR="00D55C1E" w:rsidRDefault="00EB0A4E">
            <w:pPr>
              <w:numPr>
                <w:ilvl w:val="0"/>
                <w:numId w:val="11"/>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David </w:t>
            </w:r>
            <w:proofErr w:type="spellStart"/>
            <w:r>
              <w:rPr>
                <w:rFonts w:ascii="Arial" w:eastAsia="Arial" w:hAnsi="Arial" w:cs="Arial"/>
                <w:sz w:val="22"/>
                <w:szCs w:val="22"/>
              </w:rPr>
              <w:t>Weintrop</w:t>
            </w:r>
            <w:proofErr w:type="spellEnd"/>
            <w:r>
              <w:rPr>
                <w:rFonts w:ascii="Arial" w:eastAsia="Arial" w:hAnsi="Arial" w:cs="Arial"/>
                <w:sz w:val="22"/>
                <w:szCs w:val="22"/>
              </w:rPr>
              <w:t xml:space="preserve"> (TLPL), </w:t>
            </w:r>
            <w:proofErr w:type="spellStart"/>
            <w:r>
              <w:rPr>
                <w:rFonts w:ascii="Arial" w:eastAsia="Arial" w:hAnsi="Arial" w:cs="Arial"/>
                <w:sz w:val="22"/>
                <w:szCs w:val="22"/>
              </w:rPr>
              <w:t>Yewon</w:t>
            </w:r>
            <w:proofErr w:type="spellEnd"/>
            <w:r>
              <w:rPr>
                <w:rFonts w:ascii="Arial" w:eastAsia="Arial" w:hAnsi="Arial" w:cs="Arial"/>
                <w:sz w:val="22"/>
                <w:szCs w:val="22"/>
              </w:rPr>
              <w:t xml:space="preserve"> Lee (CHSE), </w:t>
            </w:r>
            <w:proofErr w:type="spellStart"/>
            <w:r>
              <w:rPr>
                <w:rFonts w:ascii="Arial" w:eastAsia="Arial" w:hAnsi="Arial" w:cs="Arial"/>
                <w:sz w:val="22"/>
                <w:szCs w:val="22"/>
              </w:rPr>
              <w:t>Gulnoza</w:t>
            </w:r>
            <w:proofErr w:type="spellEnd"/>
            <w:r>
              <w:rPr>
                <w:rFonts w:ascii="Arial" w:eastAsia="Arial" w:hAnsi="Arial" w:cs="Arial"/>
                <w:sz w:val="22"/>
                <w:szCs w:val="22"/>
              </w:rPr>
              <w:t xml:space="preserve"> </w:t>
            </w:r>
            <w:proofErr w:type="spellStart"/>
            <w:r>
              <w:rPr>
                <w:rFonts w:ascii="Arial" w:eastAsia="Arial" w:hAnsi="Arial" w:cs="Arial"/>
                <w:sz w:val="22"/>
                <w:szCs w:val="22"/>
              </w:rPr>
              <w:t>Yakubova</w:t>
            </w:r>
            <w:proofErr w:type="spellEnd"/>
            <w:r>
              <w:rPr>
                <w:rFonts w:ascii="Arial" w:eastAsia="Arial" w:hAnsi="Arial" w:cs="Arial"/>
                <w:sz w:val="22"/>
                <w:szCs w:val="22"/>
              </w:rPr>
              <w:t xml:space="preserve"> (CHSE) </w:t>
            </w:r>
            <w:r>
              <w:rPr>
                <w:rFonts w:ascii="Arial" w:eastAsia="Arial" w:hAnsi="Arial" w:cs="Arial"/>
                <w:b/>
                <w:sz w:val="22"/>
                <w:szCs w:val="22"/>
              </w:rPr>
              <w:t>Impact Grant:  Maryland Initiative for Digital Accessibility</w:t>
            </w:r>
            <w:r>
              <w:rPr>
                <w:rFonts w:ascii="Arial" w:eastAsia="Arial" w:hAnsi="Arial" w:cs="Arial"/>
                <w:sz w:val="22"/>
                <w:szCs w:val="22"/>
              </w:rPr>
              <w:t>: This initiative aims to ensure that individuals with disabilities are engaged in technology design research from the beginning of the process so that digital technology–including in education, health, employment, commerce, and civic engagement–is accessible to all.  This award is in partnership with additional colleges at the university.</w:t>
            </w:r>
          </w:p>
          <w:p w14:paraId="0D23E694" w14:textId="77777777" w:rsidR="00D55C1E" w:rsidRDefault="00D55C1E">
            <w:pPr>
              <w:pBdr>
                <w:top w:val="nil"/>
                <w:left w:val="nil"/>
                <w:bottom w:val="nil"/>
                <w:right w:val="nil"/>
                <w:between w:val="nil"/>
              </w:pBdr>
              <w:rPr>
                <w:rFonts w:ascii="Arial" w:eastAsia="Arial" w:hAnsi="Arial" w:cs="Arial"/>
                <w:sz w:val="22"/>
                <w:szCs w:val="22"/>
              </w:rPr>
            </w:pPr>
          </w:p>
          <w:p w14:paraId="35516C18" w14:textId="77777777" w:rsidR="00D55C1E" w:rsidRDefault="00EB0A4E">
            <w:pPr>
              <w:numPr>
                <w:ilvl w:val="0"/>
                <w:numId w:val="26"/>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Kimberly Griffin (CHSE/Dean) </w:t>
            </w:r>
            <w:r>
              <w:rPr>
                <w:rFonts w:ascii="Arial" w:eastAsia="Arial" w:hAnsi="Arial" w:cs="Arial"/>
                <w:b/>
                <w:sz w:val="22"/>
                <w:szCs w:val="22"/>
              </w:rPr>
              <w:t xml:space="preserve">Team Project Grant: Anti-Black Racism Initiative. </w:t>
            </w:r>
            <w:r>
              <w:rPr>
                <w:rFonts w:ascii="Arial" w:eastAsia="Arial" w:hAnsi="Arial" w:cs="Arial"/>
                <w:sz w:val="22"/>
                <w:szCs w:val="22"/>
              </w:rPr>
              <w:t>This initiative pursues the goal of establishing the University of Maryland as a leader in combating anti-Black racism by fostering cross-departmental faculty-student research and hosting workshops, symposia, and networking events for the campus and surrounding community.   This award is in partnership with additional colleges at the university.</w:t>
            </w:r>
          </w:p>
          <w:p w14:paraId="0FACB4A1" w14:textId="77777777" w:rsidR="00D55C1E" w:rsidRDefault="00D55C1E">
            <w:pPr>
              <w:pBdr>
                <w:top w:val="nil"/>
                <w:left w:val="nil"/>
                <w:bottom w:val="nil"/>
                <w:right w:val="nil"/>
                <w:between w:val="nil"/>
              </w:pBdr>
              <w:rPr>
                <w:rFonts w:ascii="Arial" w:eastAsia="Arial" w:hAnsi="Arial" w:cs="Arial"/>
                <w:sz w:val="22"/>
                <w:szCs w:val="22"/>
              </w:rPr>
            </w:pPr>
          </w:p>
          <w:p w14:paraId="6F9A4B25" w14:textId="77777777" w:rsidR="00D55C1E" w:rsidRDefault="00EB0A4E">
            <w:pPr>
              <w:numPr>
                <w:ilvl w:val="0"/>
                <w:numId w:val="24"/>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Sophia Rodriguez (</w:t>
            </w:r>
            <w:proofErr w:type="gramStart"/>
            <w:r>
              <w:rPr>
                <w:rFonts w:ascii="Arial" w:eastAsia="Arial" w:hAnsi="Arial" w:cs="Arial"/>
                <w:sz w:val="22"/>
                <w:szCs w:val="22"/>
              </w:rPr>
              <w:t xml:space="preserve">TLPL) </w:t>
            </w:r>
            <w:r>
              <w:rPr>
                <w:rFonts w:ascii="Arial" w:eastAsia="Arial" w:hAnsi="Arial" w:cs="Arial"/>
                <w:b/>
                <w:sz w:val="22"/>
                <w:szCs w:val="22"/>
              </w:rPr>
              <w:t xml:space="preserve"> Team</w:t>
            </w:r>
            <w:proofErr w:type="gramEnd"/>
            <w:r>
              <w:rPr>
                <w:rFonts w:ascii="Arial" w:eastAsia="Arial" w:hAnsi="Arial" w:cs="Arial"/>
                <w:b/>
                <w:sz w:val="22"/>
                <w:szCs w:val="22"/>
              </w:rPr>
              <w:t xml:space="preserve"> Project Grant: Encuentros: A University-Community Partnership to Mitigate the Mental Health Crisis for Latino Immigrant Youth </w:t>
            </w:r>
            <w:r>
              <w:rPr>
                <w:rFonts w:ascii="Arial" w:eastAsia="Arial" w:hAnsi="Arial" w:cs="Arial"/>
                <w:sz w:val="22"/>
                <w:szCs w:val="22"/>
              </w:rPr>
              <w:t>This community-driven project works to address mental health issues and increase well-being among low-income Latino immigrant youth in Maryland facing impacts from racism, discrimination</w:t>
            </w:r>
            <w:r w:rsidR="00F35C35">
              <w:rPr>
                <w:rFonts w:ascii="Arial" w:eastAsia="Arial" w:hAnsi="Arial" w:cs="Arial"/>
                <w:sz w:val="22"/>
                <w:szCs w:val="22"/>
              </w:rPr>
              <w:t>,</w:t>
            </w:r>
            <w:r>
              <w:rPr>
                <w:rFonts w:ascii="Arial" w:eastAsia="Arial" w:hAnsi="Arial" w:cs="Arial"/>
                <w:sz w:val="22"/>
                <w:szCs w:val="22"/>
              </w:rPr>
              <w:t xml:space="preserve"> and trauma. It will ultimately scale up to a nationwide program.</w:t>
            </w:r>
            <w:r w:rsidR="00F35C35">
              <w:rPr>
                <w:rFonts w:ascii="Arial" w:eastAsia="Arial" w:hAnsi="Arial" w:cs="Arial"/>
                <w:sz w:val="22"/>
                <w:szCs w:val="22"/>
              </w:rPr>
              <w:t xml:space="preserve"> </w:t>
            </w:r>
            <w:r>
              <w:rPr>
                <w:rFonts w:ascii="Arial" w:eastAsia="Arial" w:hAnsi="Arial" w:cs="Arial"/>
                <w:sz w:val="22"/>
                <w:szCs w:val="22"/>
              </w:rPr>
              <w:t>This award is in partnership with additional colleges at the university.</w:t>
            </w:r>
          </w:p>
          <w:p w14:paraId="0D41AF4C" w14:textId="77777777" w:rsidR="00D55C1E" w:rsidRDefault="00D55C1E">
            <w:pPr>
              <w:pBdr>
                <w:top w:val="nil"/>
                <w:left w:val="nil"/>
                <w:bottom w:val="nil"/>
                <w:right w:val="nil"/>
                <w:between w:val="nil"/>
              </w:pBdr>
              <w:rPr>
                <w:rFonts w:ascii="Arial" w:eastAsia="Arial" w:hAnsi="Arial" w:cs="Arial"/>
                <w:sz w:val="22"/>
                <w:szCs w:val="22"/>
              </w:rPr>
            </w:pPr>
          </w:p>
          <w:p w14:paraId="2BEEBCD2" w14:textId="77777777" w:rsidR="00D55C1E" w:rsidRDefault="00EB0A4E">
            <w:pPr>
              <w:numPr>
                <w:ilvl w:val="0"/>
                <w:numId w:val="1"/>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Kelli Cummings (CHSE) </w:t>
            </w:r>
            <w:r w:rsidR="00F35C35">
              <w:rPr>
                <w:rFonts w:ascii="Arial" w:eastAsia="Arial" w:hAnsi="Arial" w:cs="Arial"/>
                <w:sz w:val="22"/>
                <w:szCs w:val="22"/>
              </w:rPr>
              <w:t>received</w:t>
            </w:r>
            <w:r>
              <w:rPr>
                <w:rFonts w:ascii="Arial" w:eastAsia="Arial" w:hAnsi="Arial" w:cs="Arial"/>
                <w:sz w:val="22"/>
                <w:szCs w:val="22"/>
              </w:rPr>
              <w:t xml:space="preserve"> a $3.7 million grant from the Institute of Education Sciences to investigate the efficacy of reading mastery on first graders’ reading achievement, reading disability (RD) identification, and risk of RD.</w:t>
            </w:r>
          </w:p>
          <w:p w14:paraId="00CE7F56" w14:textId="77777777" w:rsidR="00D55C1E" w:rsidRDefault="00D55C1E">
            <w:pPr>
              <w:rPr>
                <w:rFonts w:ascii="Arial" w:eastAsia="Arial" w:hAnsi="Arial" w:cs="Arial"/>
                <w:sz w:val="22"/>
                <w:szCs w:val="22"/>
              </w:rPr>
            </w:pPr>
          </w:p>
          <w:p w14:paraId="0CF7BED1" w14:textId="77777777" w:rsidR="00D55C1E" w:rsidRDefault="00EB0A4E">
            <w:pPr>
              <w:numPr>
                <w:ilvl w:val="0"/>
                <w:numId w:val="23"/>
              </w:numPr>
              <w:rPr>
                <w:rFonts w:ascii="Arial" w:eastAsia="Arial" w:hAnsi="Arial" w:cs="Arial"/>
                <w:sz w:val="22"/>
                <w:szCs w:val="22"/>
              </w:rPr>
            </w:pPr>
            <w:r>
              <w:rPr>
                <w:rFonts w:ascii="Arial" w:eastAsia="Arial" w:hAnsi="Arial" w:cs="Arial"/>
                <w:sz w:val="22"/>
                <w:szCs w:val="22"/>
              </w:rPr>
              <w:t>Jing Liu (TLPL) Is a participant in a research team that received a $1.5M NSF Grant to Boost Middle School Math Learning With AI</w:t>
            </w:r>
          </w:p>
          <w:p w14:paraId="176010BA" w14:textId="77777777" w:rsidR="00D55C1E" w:rsidRDefault="00D55C1E">
            <w:pPr>
              <w:pBdr>
                <w:top w:val="nil"/>
                <w:left w:val="nil"/>
                <w:bottom w:val="nil"/>
                <w:right w:val="nil"/>
                <w:between w:val="nil"/>
              </w:pBdr>
              <w:rPr>
                <w:rFonts w:ascii="Arial" w:eastAsia="Arial" w:hAnsi="Arial" w:cs="Arial"/>
                <w:sz w:val="22"/>
                <w:szCs w:val="22"/>
              </w:rPr>
            </w:pPr>
          </w:p>
          <w:p w14:paraId="5B6E6268" w14:textId="77777777" w:rsidR="00D55C1E" w:rsidRDefault="00EB0A4E">
            <w:pPr>
              <w:numPr>
                <w:ilvl w:val="0"/>
                <w:numId w:val="18"/>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Christy Tirrell-Corbin (HDMQ)</w:t>
            </w:r>
            <w:r w:rsidR="00F35C35">
              <w:rPr>
                <w:rFonts w:ascii="Arial" w:eastAsia="Arial" w:hAnsi="Arial" w:cs="Arial"/>
                <w:sz w:val="22"/>
                <w:szCs w:val="22"/>
              </w:rPr>
              <w:t xml:space="preserve"> is the</w:t>
            </w:r>
            <w:r>
              <w:rPr>
                <w:rFonts w:ascii="Arial" w:eastAsia="Arial" w:hAnsi="Arial" w:cs="Arial"/>
                <w:sz w:val="22"/>
                <w:szCs w:val="22"/>
              </w:rPr>
              <w:t xml:space="preserve"> Principal Investigator and Project Director of </w:t>
            </w:r>
            <w:r w:rsidR="00F35C35">
              <w:rPr>
                <w:rFonts w:ascii="Arial" w:eastAsia="Arial" w:hAnsi="Arial" w:cs="Arial"/>
                <w:sz w:val="22"/>
                <w:szCs w:val="22"/>
              </w:rPr>
              <w:t xml:space="preserve">the </w:t>
            </w:r>
            <w:r>
              <w:rPr>
                <w:rFonts w:ascii="Arial" w:eastAsia="Arial" w:hAnsi="Arial" w:cs="Arial"/>
                <w:sz w:val="22"/>
                <w:szCs w:val="22"/>
              </w:rPr>
              <w:t xml:space="preserve">Maryland Early </w:t>
            </w:r>
            <w:proofErr w:type="spellStart"/>
            <w:r>
              <w:rPr>
                <w:rFonts w:ascii="Arial" w:eastAsia="Arial" w:hAnsi="Arial" w:cs="Arial"/>
                <w:sz w:val="22"/>
                <w:szCs w:val="22"/>
              </w:rPr>
              <w:t>EdCorp</w:t>
            </w:r>
            <w:proofErr w:type="spellEnd"/>
            <w:r>
              <w:rPr>
                <w:rFonts w:ascii="Arial" w:eastAsia="Arial" w:hAnsi="Arial" w:cs="Arial"/>
                <w:sz w:val="22"/>
                <w:szCs w:val="22"/>
              </w:rPr>
              <w:t xml:space="preserve"> Apprenticeship Program.  A new $2.9 million grant from the state Department of Education will support this project to put more highly qualified early childhood educators from diverse backgrounds into the communities that need help the most.  UMD’s Center for Early Childhood Education and Intervention (CECEI) will establish Maryland Early </w:t>
            </w:r>
            <w:proofErr w:type="spellStart"/>
            <w:r>
              <w:rPr>
                <w:rFonts w:ascii="Arial" w:eastAsia="Arial" w:hAnsi="Arial" w:cs="Arial"/>
                <w:sz w:val="22"/>
                <w:szCs w:val="22"/>
              </w:rPr>
              <w:t>EdCorp</w:t>
            </w:r>
            <w:proofErr w:type="spellEnd"/>
            <w:r>
              <w:rPr>
                <w:rFonts w:ascii="Arial" w:eastAsia="Arial" w:hAnsi="Arial" w:cs="Arial"/>
                <w:sz w:val="22"/>
                <w:szCs w:val="22"/>
              </w:rPr>
              <w:t xml:space="preserve">, a 15-month </w:t>
            </w:r>
            <w:r>
              <w:rPr>
                <w:rFonts w:ascii="Arial" w:eastAsia="Arial" w:hAnsi="Arial" w:cs="Arial"/>
                <w:sz w:val="22"/>
                <w:szCs w:val="22"/>
              </w:rPr>
              <w:lastRenderedPageBreak/>
              <w:t>project to recruit, train, mentor, and support future childcare teachers to serve children ages 3 to 5, especially those from groups with higher levels of need.</w:t>
            </w:r>
          </w:p>
          <w:p w14:paraId="34C22622" w14:textId="77777777" w:rsidR="00D55C1E" w:rsidRDefault="00D55C1E">
            <w:pPr>
              <w:pBdr>
                <w:top w:val="nil"/>
                <w:left w:val="nil"/>
                <w:bottom w:val="nil"/>
                <w:right w:val="nil"/>
                <w:between w:val="nil"/>
              </w:pBdr>
              <w:rPr>
                <w:rFonts w:ascii="Arial" w:eastAsia="Arial" w:hAnsi="Arial" w:cs="Arial"/>
                <w:sz w:val="22"/>
                <w:szCs w:val="22"/>
              </w:rPr>
            </w:pPr>
          </w:p>
          <w:p w14:paraId="173DA944" w14:textId="77777777" w:rsidR="00D55C1E" w:rsidRDefault="00EB0A4E">
            <w:pPr>
              <w:numPr>
                <w:ilvl w:val="0"/>
                <w:numId w:val="12"/>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Margaret Anne Walker (TLPL) earned the Maryland Higher Education Art Educator of the Year for her outstanding service and achievement as an educator, visual artist, and strong advocate for the arts for nearly 30 years.</w:t>
            </w:r>
          </w:p>
          <w:p w14:paraId="3393510C" w14:textId="77777777" w:rsidR="00D55C1E" w:rsidRDefault="00D55C1E">
            <w:pPr>
              <w:pBdr>
                <w:top w:val="nil"/>
                <w:left w:val="nil"/>
                <w:bottom w:val="nil"/>
                <w:right w:val="nil"/>
                <w:between w:val="nil"/>
              </w:pBdr>
              <w:rPr>
                <w:rFonts w:ascii="Arial" w:eastAsia="Arial" w:hAnsi="Arial" w:cs="Arial"/>
                <w:sz w:val="22"/>
                <w:szCs w:val="22"/>
              </w:rPr>
            </w:pPr>
          </w:p>
          <w:p w14:paraId="35990DCE" w14:textId="77777777" w:rsidR="00D55C1E" w:rsidRDefault="00EB0A4E">
            <w:pPr>
              <w:numPr>
                <w:ilvl w:val="0"/>
                <w:numId w:val="21"/>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22"/>
                <w:szCs w:val="22"/>
              </w:rPr>
            </w:pPr>
            <w:r>
              <w:rPr>
                <w:rFonts w:ascii="Arial" w:eastAsia="Arial" w:hAnsi="Arial" w:cs="Arial"/>
                <w:sz w:val="22"/>
                <w:szCs w:val="22"/>
              </w:rPr>
              <w:t xml:space="preserve">Ebony Terrell Shockley, clinical professor and Associate Dean for Undergraduate Studies and Educator Preparation, was elected to serve as a council member of the American Educational Research Association Middle-Level Education Research Special Interest Group. </w:t>
            </w:r>
          </w:p>
          <w:p w14:paraId="4BB36683" w14:textId="77777777" w:rsidR="00D55C1E" w:rsidRDefault="00D55C1E">
            <w:pPr>
              <w:pBdr>
                <w:top w:val="nil"/>
                <w:left w:val="nil"/>
                <w:bottom w:val="nil"/>
                <w:right w:val="nil"/>
                <w:between w:val="nil"/>
              </w:pBdr>
              <w:rPr>
                <w:rFonts w:ascii="Arial" w:eastAsia="Arial" w:hAnsi="Arial" w:cs="Arial"/>
                <w:sz w:val="22"/>
                <w:szCs w:val="22"/>
              </w:rPr>
            </w:pPr>
          </w:p>
          <w:p w14:paraId="3C707ECA" w14:textId="77777777" w:rsidR="00D55C1E" w:rsidRDefault="00EB0A4E">
            <w:pPr>
              <w:numPr>
                <w:ilvl w:val="0"/>
                <w:numId w:val="4"/>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 xml:space="preserve">Sharon Fries-Britt (CHSE) </w:t>
            </w:r>
            <w:r w:rsidR="00F35C35">
              <w:rPr>
                <w:rFonts w:ascii="Arial" w:eastAsia="Arial" w:hAnsi="Arial" w:cs="Arial"/>
                <w:sz w:val="22"/>
                <w:szCs w:val="22"/>
              </w:rPr>
              <w:t>was recognized with</w:t>
            </w:r>
            <w:r>
              <w:rPr>
                <w:rFonts w:ascii="Arial" w:eastAsia="Arial" w:hAnsi="Arial" w:cs="Arial"/>
                <w:sz w:val="22"/>
                <w:szCs w:val="22"/>
              </w:rPr>
              <w:t xml:space="preserve"> the American Physical Society’s Excellence in Physics Education Award and the American Educational Research Association’s Social Justice in Education Award.</w:t>
            </w:r>
          </w:p>
          <w:p w14:paraId="42BCE4FF" w14:textId="77777777" w:rsidR="00D55C1E" w:rsidRDefault="00D55C1E">
            <w:pPr>
              <w:pBdr>
                <w:top w:val="nil"/>
                <w:left w:val="nil"/>
                <w:bottom w:val="nil"/>
                <w:right w:val="nil"/>
                <w:between w:val="nil"/>
              </w:pBdr>
              <w:rPr>
                <w:rFonts w:ascii="Arial" w:eastAsia="Arial" w:hAnsi="Arial" w:cs="Arial"/>
                <w:sz w:val="22"/>
                <w:szCs w:val="22"/>
              </w:rPr>
            </w:pPr>
          </w:p>
          <w:p w14:paraId="63A9EDC4" w14:textId="77777777" w:rsidR="00D55C1E" w:rsidRDefault="00EB0A4E">
            <w:pPr>
              <w:numPr>
                <w:ilvl w:val="0"/>
                <w:numId w:val="14"/>
              </w:num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Drew S. Fagan (TLPL), named the Maryland Teaching English to Speakers of Other Languages Organization president, became a member of the Maryland State Department of Education’s Blueprint for Maryland’s Future: Workgroup in English Learners in Public Schools.</w:t>
            </w:r>
          </w:p>
          <w:p w14:paraId="09135DF6" w14:textId="77777777" w:rsidR="00D55C1E" w:rsidRDefault="00EB0A4E">
            <w:pPr>
              <w:pBdr>
                <w:top w:val="nil"/>
                <w:left w:val="nil"/>
                <w:bottom w:val="nil"/>
                <w:right w:val="nil"/>
                <w:between w:val="nil"/>
              </w:pBdr>
              <w:rPr>
                <w:rFonts w:ascii="Arial" w:eastAsia="Arial" w:hAnsi="Arial" w:cs="Arial"/>
                <w:sz w:val="22"/>
                <w:szCs w:val="22"/>
              </w:rPr>
            </w:pPr>
            <w:r>
              <w:rPr>
                <w:rFonts w:ascii="Arial" w:eastAsia="Arial" w:hAnsi="Arial" w:cs="Arial"/>
                <w:sz w:val="22"/>
                <w:szCs w:val="22"/>
              </w:rPr>
              <w:tab/>
            </w:r>
          </w:p>
          <w:p w14:paraId="47084D1B" w14:textId="77777777" w:rsidR="00D55C1E" w:rsidRDefault="00EB0A4E">
            <w:pPr>
              <w:pBdr>
                <w:top w:val="nil"/>
                <w:left w:val="nil"/>
                <w:bottom w:val="nil"/>
                <w:right w:val="nil"/>
                <w:between w:val="nil"/>
              </w:pBdr>
              <w:rPr>
                <w:rFonts w:ascii="Arial" w:eastAsia="Arial" w:hAnsi="Arial" w:cs="Arial"/>
                <w:b/>
              </w:rPr>
            </w:pPr>
            <w:r>
              <w:rPr>
                <w:rFonts w:ascii="Arial" w:eastAsia="Arial" w:hAnsi="Arial" w:cs="Arial"/>
                <w:b/>
              </w:rPr>
              <w:t>Continuous Improvement</w:t>
            </w:r>
          </w:p>
          <w:p w14:paraId="2482DB21" w14:textId="77777777" w:rsidR="00D55C1E" w:rsidRDefault="00D55C1E">
            <w:pPr>
              <w:pBdr>
                <w:top w:val="nil"/>
                <w:left w:val="nil"/>
                <w:bottom w:val="nil"/>
                <w:right w:val="nil"/>
                <w:between w:val="nil"/>
              </w:pBdr>
              <w:rPr>
                <w:rFonts w:ascii="Arial" w:eastAsia="Arial" w:hAnsi="Arial" w:cs="Arial"/>
                <w:sz w:val="22"/>
                <w:szCs w:val="22"/>
              </w:rPr>
            </w:pPr>
          </w:p>
          <w:p w14:paraId="4B1D3E0E" w14:textId="77777777" w:rsidR="00D55C1E" w:rsidRDefault="00EB0A4E">
            <w:pPr>
              <w:numPr>
                <w:ilvl w:val="0"/>
                <w:numId w:val="2"/>
              </w:numPr>
              <w:pBdr>
                <w:top w:val="nil"/>
                <w:left w:val="nil"/>
                <w:bottom w:val="nil"/>
                <w:right w:val="nil"/>
                <w:between w:val="nil"/>
              </w:pBdr>
              <w:rPr>
                <w:rFonts w:ascii="Calibri" w:eastAsia="Calibri" w:hAnsi="Calibri" w:cs="Calibri"/>
                <w:sz w:val="22"/>
                <w:szCs w:val="22"/>
              </w:rPr>
            </w:pPr>
            <w:r>
              <w:rPr>
                <w:rFonts w:ascii="Arial" w:eastAsia="Arial" w:hAnsi="Arial" w:cs="Arial"/>
                <w:b/>
                <w:sz w:val="22"/>
                <w:szCs w:val="22"/>
              </w:rPr>
              <w:t>Teacher Education and STEM Production</w:t>
            </w:r>
            <w:r>
              <w:rPr>
                <w:rFonts w:ascii="Arial" w:eastAsia="Arial" w:hAnsi="Arial" w:cs="Arial"/>
                <w:sz w:val="22"/>
                <w:szCs w:val="22"/>
              </w:rPr>
              <w:t xml:space="preserve">. The College of Education (EDUC) continues to respond to workforce needs. The EDUC partners with school districts, community colleges, and cross-campus programs to improve the teacher pipeline, attract a wider pool of applicants, and reduce barriers to entering the profession. The EDUC continues to expand the number of partnerships with multiple school districts for teacher development, early field experiences, and residencies and broadens our innovative, grow-your-own teacher preparation programs. </w:t>
            </w:r>
          </w:p>
          <w:p w14:paraId="3BE27A59" w14:textId="77777777" w:rsidR="00D55C1E" w:rsidRDefault="00EB0A4E">
            <w:pPr>
              <w:numPr>
                <w:ilvl w:val="1"/>
                <w:numId w:val="2"/>
              </w:numPr>
              <w:pBdr>
                <w:top w:val="nil"/>
                <w:left w:val="nil"/>
                <w:bottom w:val="nil"/>
                <w:right w:val="nil"/>
                <w:between w:val="nil"/>
              </w:pBdr>
              <w:rPr>
                <w:rFonts w:ascii="Calibri" w:eastAsia="Calibri" w:hAnsi="Calibri" w:cs="Calibri"/>
                <w:sz w:val="22"/>
                <w:szCs w:val="22"/>
              </w:rPr>
            </w:pPr>
            <w:r>
              <w:rPr>
                <w:rFonts w:ascii="Arial" w:eastAsia="Arial" w:hAnsi="Arial" w:cs="Arial"/>
                <w:sz w:val="22"/>
                <w:szCs w:val="22"/>
              </w:rPr>
              <w:t xml:space="preserve">For example, in Prince George's County, high school students can join an early/middle college program to become eligible for teacher certification in elementary education, early childhood/special education, or math and science education. </w:t>
            </w:r>
          </w:p>
          <w:p w14:paraId="7A7C8B4F" w14:textId="77777777" w:rsidR="00D55C1E" w:rsidRDefault="00EB0A4E">
            <w:pPr>
              <w:numPr>
                <w:ilvl w:val="1"/>
                <w:numId w:val="2"/>
              </w:numPr>
              <w:pBdr>
                <w:top w:val="nil"/>
                <w:left w:val="nil"/>
                <w:bottom w:val="nil"/>
                <w:right w:val="nil"/>
                <w:between w:val="nil"/>
              </w:pBdr>
              <w:rPr>
                <w:rFonts w:ascii="Calibri" w:eastAsia="Calibri" w:hAnsi="Calibri" w:cs="Calibri"/>
                <w:sz w:val="22"/>
                <w:szCs w:val="22"/>
              </w:rPr>
            </w:pPr>
            <w:r>
              <w:rPr>
                <w:rFonts w:ascii="Arial" w:eastAsia="Arial" w:hAnsi="Arial" w:cs="Arial"/>
                <w:sz w:val="22"/>
                <w:szCs w:val="22"/>
              </w:rPr>
              <w:t>The EDUC is expanding the teaching pathway for conditionally certified teachers to become eligible for certification through our Creative Initiatives in Teacher Education program (CITE). The CITE program currently exists for paraprofessionals in Montgomery County in elementary classrooms. With the support of the EDUC's new Ed Terps Learning Academy, which encourages and sustains school district outreach and entrepreneurial programs to provide opportunities for continued growth in educator preparation, the EDUC will continue the CITE program and has expanded the program to include a teaching pathway for conditionally certified teachers to become eligible for certification in additional school districts.</w:t>
            </w:r>
          </w:p>
          <w:p w14:paraId="16F953E2" w14:textId="77777777" w:rsidR="00D55C1E" w:rsidRDefault="00EB0A4E">
            <w:pPr>
              <w:numPr>
                <w:ilvl w:val="2"/>
                <w:numId w:val="2"/>
              </w:numPr>
              <w:pBdr>
                <w:top w:val="none" w:sz="0" w:space="0" w:color="auto"/>
                <w:left w:val="none" w:sz="0" w:space="0" w:color="auto"/>
                <w:bottom w:val="none" w:sz="0" w:space="0" w:color="auto"/>
                <w:right w:val="none" w:sz="0" w:space="0" w:color="auto"/>
                <w:between w:val="none" w:sz="0" w:space="0" w:color="auto"/>
              </w:pBdr>
              <w:rPr>
                <w:rFonts w:ascii="Calibri" w:eastAsia="Calibri" w:hAnsi="Calibri" w:cs="Calibri"/>
                <w:sz w:val="22"/>
                <w:szCs w:val="22"/>
              </w:rPr>
            </w:pPr>
            <w:r>
              <w:rPr>
                <w:rFonts w:ascii="Arial" w:eastAsia="Arial" w:hAnsi="Arial" w:cs="Arial"/>
                <w:b/>
                <w:sz w:val="22"/>
                <w:szCs w:val="22"/>
              </w:rPr>
              <w:t xml:space="preserve">CITE expansion into AACPS: </w:t>
            </w:r>
            <w:r>
              <w:rPr>
                <w:rFonts w:ascii="Arial" w:eastAsia="Arial" w:hAnsi="Arial" w:cs="Arial"/>
                <w:sz w:val="22"/>
                <w:szCs w:val="22"/>
              </w:rPr>
              <w:t xml:space="preserve">The Creative Initiatives in Teacher Education (CITE) program added the first cohort with our district partner, Anne Arundel County Public Schools (AACPS).  Seventeen students started </w:t>
            </w:r>
            <w:r>
              <w:rPr>
                <w:rFonts w:ascii="Arial" w:eastAsia="Arial" w:hAnsi="Arial" w:cs="Arial"/>
                <w:sz w:val="22"/>
                <w:szCs w:val="22"/>
              </w:rPr>
              <w:lastRenderedPageBreak/>
              <w:t xml:space="preserve">in the CITE M.Ed. program in AACPS in the </w:t>
            </w:r>
            <w:r w:rsidR="00F35C35">
              <w:rPr>
                <w:rFonts w:ascii="Arial" w:eastAsia="Arial" w:hAnsi="Arial" w:cs="Arial"/>
                <w:sz w:val="22"/>
                <w:szCs w:val="22"/>
              </w:rPr>
              <w:t>F</w:t>
            </w:r>
            <w:r>
              <w:rPr>
                <w:rFonts w:ascii="Arial" w:eastAsia="Arial" w:hAnsi="Arial" w:cs="Arial"/>
                <w:sz w:val="22"/>
                <w:szCs w:val="22"/>
              </w:rPr>
              <w:t>all of 2023.  This expansion will support efforts to assist with the state teacher shortage.</w:t>
            </w:r>
          </w:p>
          <w:p w14:paraId="7613B414" w14:textId="77777777" w:rsidR="00D55C1E" w:rsidRDefault="00EB0A4E">
            <w:pPr>
              <w:numPr>
                <w:ilvl w:val="1"/>
                <w:numId w:val="2"/>
              </w:numPr>
              <w:pBdr>
                <w:top w:val="nil"/>
                <w:left w:val="nil"/>
                <w:bottom w:val="nil"/>
                <w:right w:val="nil"/>
                <w:between w:val="nil"/>
              </w:pBdr>
              <w:rPr>
                <w:rFonts w:ascii="Calibri" w:eastAsia="Calibri" w:hAnsi="Calibri" w:cs="Calibri"/>
                <w:sz w:val="22"/>
                <w:szCs w:val="22"/>
              </w:rPr>
            </w:pPr>
            <w:r>
              <w:rPr>
                <w:rFonts w:ascii="Arial" w:eastAsia="Arial" w:hAnsi="Arial" w:cs="Arial"/>
                <w:sz w:val="22"/>
                <w:szCs w:val="22"/>
              </w:rPr>
              <w:t xml:space="preserve">Additionally, the Special Education program and the Early Childhood and Special Education (ECSE) program (both are shortage areas) expanded the number of students eligible for jobs in special education classrooms in a wider grade band by gaining approval for an additional track in their program (i.e., Track 2). Track 2 leads to Special Education Elementary/Middle and Elementary Education licensure in the Special Education program and up to Grade 5 in the ECSE program. In the ECSE program, 100% of the students who would traditionally only work in the early grades chose Track 2 for fall 2023. </w:t>
            </w:r>
          </w:p>
          <w:p w14:paraId="6CF05F32" w14:textId="77777777" w:rsidR="00D55C1E" w:rsidRDefault="00EB0A4E">
            <w:pPr>
              <w:numPr>
                <w:ilvl w:val="1"/>
                <w:numId w:val="2"/>
              </w:numPr>
              <w:pBdr>
                <w:top w:val="nil"/>
                <w:left w:val="nil"/>
                <w:bottom w:val="nil"/>
                <w:right w:val="nil"/>
                <w:between w:val="nil"/>
              </w:pBdr>
              <w:rPr>
                <w:rFonts w:ascii="Calibri" w:eastAsia="Calibri" w:hAnsi="Calibri" w:cs="Calibri"/>
                <w:sz w:val="22"/>
                <w:szCs w:val="22"/>
              </w:rPr>
            </w:pPr>
            <w:r>
              <w:rPr>
                <w:rFonts w:ascii="Arial" w:eastAsia="Arial" w:hAnsi="Arial" w:cs="Arial"/>
                <w:sz w:val="22"/>
                <w:szCs w:val="22"/>
              </w:rPr>
              <w:t xml:space="preserve">Likewise, programs in World Languages and English for Speakers of Other Languages (ESOL) improve the number of students eligible for jobs supporting our multilingual and increasingly diverse society. </w:t>
            </w:r>
          </w:p>
          <w:p w14:paraId="5C80EBA3" w14:textId="77777777" w:rsidR="00D55C1E" w:rsidRDefault="00EB0A4E">
            <w:pPr>
              <w:numPr>
                <w:ilvl w:val="1"/>
                <w:numId w:val="2"/>
              </w:numPr>
              <w:pBdr>
                <w:top w:val="nil"/>
                <w:left w:val="nil"/>
                <w:bottom w:val="nil"/>
                <w:right w:val="nil"/>
                <w:between w:val="nil"/>
              </w:pBdr>
              <w:rPr>
                <w:rFonts w:ascii="Calibri" w:eastAsia="Calibri" w:hAnsi="Calibri" w:cs="Calibri"/>
                <w:sz w:val="22"/>
                <w:szCs w:val="22"/>
              </w:rPr>
            </w:pPr>
            <w:r>
              <w:rPr>
                <w:rFonts w:ascii="Arial" w:eastAsia="Arial" w:hAnsi="Arial" w:cs="Arial"/>
                <w:sz w:val="22"/>
                <w:szCs w:val="22"/>
              </w:rPr>
              <w:t xml:space="preserve">Given the high demand for STEM teachers across Maryland and nationwide, the jointly formed Terrapin Teachers (TT) program's recent launch of a virtual introductory course designed to recruit prospective middle and high school science and math teachers is expected to improve STEM production. </w:t>
            </w:r>
          </w:p>
          <w:p w14:paraId="58DCAA66" w14:textId="77777777" w:rsidR="00D55C1E" w:rsidRDefault="00EB0A4E">
            <w:pPr>
              <w:numPr>
                <w:ilvl w:val="1"/>
                <w:numId w:val="2"/>
              </w:numPr>
              <w:pBdr>
                <w:top w:val="nil"/>
                <w:left w:val="nil"/>
                <w:bottom w:val="nil"/>
                <w:right w:val="nil"/>
                <w:between w:val="nil"/>
              </w:pBdr>
              <w:rPr>
                <w:rFonts w:ascii="Calibri" w:eastAsia="Calibri" w:hAnsi="Calibri" w:cs="Calibri"/>
                <w:sz w:val="22"/>
                <w:szCs w:val="22"/>
              </w:rPr>
            </w:pPr>
            <w:r>
              <w:rPr>
                <w:rFonts w:ascii="Arial" w:eastAsia="Arial" w:hAnsi="Arial" w:cs="Arial"/>
                <w:sz w:val="22"/>
                <w:szCs w:val="22"/>
              </w:rPr>
              <w:t>Additional innovations include our new Ed Terps Learning Academy (ETLA), which encourages and sustains school district outreach and entrepreneurial programs and provides opportunities for continued growth in educator preparation.</w:t>
            </w:r>
          </w:p>
          <w:p w14:paraId="2481F142" w14:textId="77777777" w:rsidR="00D55C1E" w:rsidRDefault="00D55C1E">
            <w:pPr>
              <w:pBdr>
                <w:top w:val="nil"/>
                <w:left w:val="nil"/>
                <w:bottom w:val="nil"/>
                <w:right w:val="nil"/>
                <w:between w:val="nil"/>
              </w:pBdr>
              <w:ind w:left="720"/>
              <w:rPr>
                <w:rFonts w:ascii="Arial" w:eastAsia="Arial" w:hAnsi="Arial" w:cs="Arial"/>
                <w:b/>
                <w:sz w:val="22"/>
                <w:szCs w:val="22"/>
                <w:u w:val="single"/>
              </w:rPr>
            </w:pPr>
          </w:p>
          <w:p w14:paraId="28114187" w14:textId="77777777" w:rsidR="00D55C1E" w:rsidRDefault="00EB0A4E">
            <w:pPr>
              <w:numPr>
                <w:ilvl w:val="0"/>
                <w:numId w:val="2"/>
              </w:numPr>
              <w:pBdr>
                <w:top w:val="nil"/>
                <w:left w:val="nil"/>
                <w:bottom w:val="nil"/>
                <w:right w:val="nil"/>
                <w:between w:val="nil"/>
              </w:pBdr>
              <w:rPr>
                <w:rFonts w:ascii="Calibri" w:eastAsia="Calibri" w:hAnsi="Calibri" w:cs="Calibri"/>
                <w:b/>
                <w:sz w:val="22"/>
                <w:szCs w:val="22"/>
              </w:rPr>
            </w:pPr>
            <w:r>
              <w:rPr>
                <w:rFonts w:ascii="Arial" w:eastAsia="Arial" w:hAnsi="Arial" w:cs="Arial"/>
                <w:b/>
                <w:sz w:val="22"/>
                <w:szCs w:val="22"/>
              </w:rPr>
              <w:t>Elementary/TESOL Endorsement:</w:t>
            </w:r>
            <w:r>
              <w:rPr>
                <w:rFonts w:ascii="Arial" w:eastAsia="Arial" w:hAnsi="Arial" w:cs="Arial"/>
                <w:sz w:val="22"/>
                <w:szCs w:val="22"/>
              </w:rPr>
              <w:t xml:space="preserve"> TLPL has initiated a pathway for an Elementary Ed + ESOL Endorsement.  Elementary Education majors are encouraged to select TESOL as their area of emphasis (AOE). Students will complete the TESOL minor (one more course than the AOE) and will have support to complete the ESOL Praxis.  After successful completion, they will have ESOL added to their certification to the Elementary Ed program.</w:t>
            </w:r>
          </w:p>
          <w:p w14:paraId="390B95A3" w14:textId="77777777" w:rsidR="00D55C1E" w:rsidRDefault="00D55C1E">
            <w:pPr>
              <w:pBdr>
                <w:top w:val="nil"/>
                <w:left w:val="nil"/>
                <w:bottom w:val="nil"/>
                <w:right w:val="nil"/>
                <w:between w:val="nil"/>
              </w:pBdr>
              <w:ind w:left="720"/>
              <w:rPr>
                <w:rFonts w:ascii="Arial" w:eastAsia="Arial" w:hAnsi="Arial" w:cs="Arial"/>
                <w:b/>
                <w:sz w:val="22"/>
                <w:szCs w:val="22"/>
              </w:rPr>
            </w:pPr>
          </w:p>
          <w:p w14:paraId="0C784D88" w14:textId="77777777" w:rsidR="00D55C1E" w:rsidRDefault="00EB0A4E">
            <w:pPr>
              <w:numPr>
                <w:ilvl w:val="0"/>
                <w:numId w:val="2"/>
              </w:numPr>
              <w:pBdr>
                <w:top w:val="nil"/>
                <w:left w:val="nil"/>
                <w:bottom w:val="nil"/>
                <w:right w:val="nil"/>
                <w:between w:val="nil"/>
              </w:pBdr>
              <w:rPr>
                <w:rFonts w:ascii="Calibri" w:eastAsia="Calibri" w:hAnsi="Calibri" w:cs="Calibri"/>
                <w:b/>
                <w:sz w:val="22"/>
                <w:szCs w:val="22"/>
              </w:rPr>
            </w:pPr>
            <w:r>
              <w:rPr>
                <w:rFonts w:ascii="Arial" w:eastAsia="Arial" w:hAnsi="Arial" w:cs="Arial"/>
                <w:b/>
                <w:sz w:val="22"/>
                <w:szCs w:val="22"/>
              </w:rPr>
              <w:t xml:space="preserve">100-day internship pilot: </w:t>
            </w:r>
            <w:r>
              <w:rPr>
                <w:rFonts w:ascii="Arial" w:eastAsia="Arial" w:hAnsi="Arial" w:cs="Arial"/>
                <w:sz w:val="22"/>
                <w:szCs w:val="22"/>
              </w:rPr>
              <w:t>The Year-long Teacher Internship (YTI) team that led the pilot program in 22-23 plans to reconvene to draft priorities for the year. The committee will create a report for the College of Education with data-informed recommendations. This should be completed by the conclusion of the Fall semester.</w:t>
            </w:r>
          </w:p>
          <w:p w14:paraId="7E432089" w14:textId="77777777" w:rsidR="00D55C1E" w:rsidRDefault="00D55C1E">
            <w:pPr>
              <w:pBdr>
                <w:top w:val="nil"/>
                <w:left w:val="nil"/>
                <w:bottom w:val="nil"/>
                <w:right w:val="nil"/>
                <w:between w:val="nil"/>
              </w:pBdr>
              <w:ind w:left="720"/>
              <w:rPr>
                <w:rFonts w:ascii="Arial" w:eastAsia="Arial" w:hAnsi="Arial" w:cs="Arial"/>
                <w:b/>
                <w:sz w:val="22"/>
                <w:szCs w:val="22"/>
              </w:rPr>
            </w:pPr>
          </w:p>
          <w:p w14:paraId="70442892" w14:textId="77777777" w:rsidR="00D55C1E" w:rsidRDefault="00EB0A4E">
            <w:pPr>
              <w:numPr>
                <w:ilvl w:val="0"/>
                <w:numId w:val="2"/>
              </w:numPr>
              <w:pBdr>
                <w:top w:val="nil"/>
                <w:left w:val="nil"/>
                <w:bottom w:val="nil"/>
                <w:right w:val="nil"/>
                <w:between w:val="nil"/>
              </w:pBdr>
              <w:rPr>
                <w:rFonts w:ascii="Calibri" w:eastAsia="Calibri" w:hAnsi="Calibri" w:cs="Calibri"/>
                <w:b/>
                <w:sz w:val="22"/>
                <w:szCs w:val="22"/>
              </w:rPr>
            </w:pPr>
            <w:r>
              <w:rPr>
                <w:rFonts w:ascii="Arial" w:eastAsia="Arial" w:hAnsi="Arial" w:cs="Arial"/>
                <w:b/>
                <w:sz w:val="22"/>
                <w:szCs w:val="22"/>
              </w:rPr>
              <w:t>ISTE Portfolio/Rubric revision:</w:t>
            </w:r>
            <w:r>
              <w:rPr>
                <w:rFonts w:ascii="Arial" w:eastAsia="Arial" w:hAnsi="Arial" w:cs="Arial"/>
                <w:sz w:val="22"/>
                <w:szCs w:val="22"/>
              </w:rPr>
              <w:t xml:space="preserve"> The College of Education successfully implemented the revised ISTE Portfolio and rubric in Spring 2023.  The portfolio was </w:t>
            </w:r>
            <w:r w:rsidR="00F35C35">
              <w:rPr>
                <w:rFonts w:ascii="Arial" w:eastAsia="Arial" w:hAnsi="Arial" w:cs="Arial"/>
                <w:sz w:val="22"/>
                <w:szCs w:val="22"/>
              </w:rPr>
              <w:t>updated</w:t>
            </w:r>
            <w:r>
              <w:rPr>
                <w:rFonts w:ascii="Arial" w:eastAsia="Arial" w:hAnsi="Arial" w:cs="Arial"/>
                <w:sz w:val="22"/>
                <w:szCs w:val="22"/>
              </w:rPr>
              <w:t xml:space="preserve"> to reflect a more streamlined organization to the ISTE standards. Standards and </w:t>
            </w:r>
            <w:proofErr w:type="spellStart"/>
            <w:r>
              <w:rPr>
                <w:rFonts w:ascii="Arial" w:eastAsia="Arial" w:hAnsi="Arial" w:cs="Arial"/>
                <w:sz w:val="22"/>
                <w:szCs w:val="22"/>
              </w:rPr>
              <w:t>substandards</w:t>
            </w:r>
            <w:proofErr w:type="spellEnd"/>
            <w:r>
              <w:rPr>
                <w:rFonts w:ascii="Arial" w:eastAsia="Arial" w:hAnsi="Arial" w:cs="Arial"/>
                <w:sz w:val="22"/>
                <w:szCs w:val="22"/>
              </w:rPr>
              <w:t xml:space="preserve"> are now distinguished into 4 Archetypes in which students can submit specific artifacts to the theme.  Scorers were provided with training for calibration and inter-rater agreement at the substandard level.  </w:t>
            </w:r>
          </w:p>
          <w:p w14:paraId="01D54C2C" w14:textId="77777777" w:rsidR="00D55C1E" w:rsidRDefault="00D55C1E">
            <w:pPr>
              <w:pBdr>
                <w:top w:val="nil"/>
                <w:left w:val="nil"/>
                <w:bottom w:val="nil"/>
                <w:right w:val="nil"/>
                <w:between w:val="nil"/>
              </w:pBdr>
              <w:ind w:left="720"/>
              <w:rPr>
                <w:rFonts w:ascii="Arial" w:eastAsia="Arial" w:hAnsi="Arial" w:cs="Arial"/>
                <w:b/>
                <w:sz w:val="22"/>
                <w:szCs w:val="22"/>
              </w:rPr>
            </w:pPr>
          </w:p>
          <w:p w14:paraId="6ED7F372" w14:textId="77777777" w:rsidR="00D55C1E" w:rsidRDefault="00EB0A4E">
            <w:pPr>
              <w:numPr>
                <w:ilvl w:val="0"/>
                <w:numId w:val="2"/>
              </w:numPr>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 xml:space="preserve">Middle College: </w:t>
            </w:r>
            <w:r>
              <w:rPr>
                <w:rFonts w:ascii="Arial" w:eastAsia="Arial" w:hAnsi="Arial" w:cs="Arial"/>
                <w:sz w:val="22"/>
                <w:szCs w:val="22"/>
              </w:rPr>
              <w:t xml:space="preserve">The Middle College Program enables high school students from Prince George's County Public School System (PGCPS) to earn an associate of arts degree in teaching from Prince George's Community College (PGCC) while completing their high school requirements. Dual enrollment students can transfer seamlessly into the College of Education's undergraduate teaching program at the University of Maryland. In response to the field's personnel needs, Middle College Program students choose from three teaching pathways: early childhood/early childhood special education, </w:t>
            </w:r>
            <w:r>
              <w:rPr>
                <w:rFonts w:ascii="Arial" w:eastAsia="Arial" w:hAnsi="Arial" w:cs="Arial"/>
                <w:sz w:val="22"/>
                <w:szCs w:val="22"/>
              </w:rPr>
              <w:lastRenderedPageBreak/>
              <w:t>middle school math/science, and special education.  Additional chosen majors are Secondary Education, Elementary, and Human Development. Students also receive support from UMD faculty and staff, including acclimation to the campus and preparation for teaching assessments. This pathway program reflects the College of Education's commitment to increasing UMD enrollments from county public schools and partnering to assist Grow Your Own programs within local school systems. Now in its third year, the UMD Middle College Teacher Preparation Pathway program enrollment increased by 50% in 2022-23 to 6 scholars. In 2023-24, 9 scholars are in the program, expecting to expand to other school districts.  As of Spring 2023, two program scholars graduated and entered the teaching profession in local Maryland School districts.</w:t>
            </w:r>
          </w:p>
          <w:p w14:paraId="6DA356D9" w14:textId="77777777" w:rsidR="00D55C1E" w:rsidRDefault="00D55C1E">
            <w:pPr>
              <w:pBdr>
                <w:top w:val="nil"/>
                <w:left w:val="nil"/>
                <w:bottom w:val="nil"/>
                <w:right w:val="nil"/>
                <w:between w:val="nil"/>
              </w:pBdr>
              <w:ind w:left="720"/>
              <w:rPr>
                <w:rFonts w:ascii="Arial" w:eastAsia="Arial" w:hAnsi="Arial" w:cs="Arial"/>
                <w:b/>
                <w:sz w:val="22"/>
                <w:szCs w:val="22"/>
                <w:u w:val="single"/>
              </w:rPr>
            </w:pPr>
          </w:p>
          <w:p w14:paraId="2E47ABF5" w14:textId="77777777" w:rsidR="00D55C1E" w:rsidRDefault="00EB0A4E">
            <w:pPr>
              <w:numPr>
                <w:ilvl w:val="0"/>
                <w:numId w:val="2"/>
              </w:numPr>
              <w:pBdr>
                <w:top w:val="nil"/>
                <w:left w:val="nil"/>
                <w:bottom w:val="nil"/>
                <w:right w:val="nil"/>
                <w:between w:val="nil"/>
              </w:pBdr>
              <w:rPr>
                <w:rFonts w:ascii="Calibri" w:eastAsia="Calibri" w:hAnsi="Calibri" w:cs="Calibri"/>
                <w:b/>
                <w:sz w:val="22"/>
                <w:szCs w:val="22"/>
              </w:rPr>
            </w:pPr>
            <w:r>
              <w:rPr>
                <w:rFonts w:ascii="Arial" w:eastAsia="Arial" w:hAnsi="Arial" w:cs="Arial"/>
                <w:b/>
                <w:sz w:val="22"/>
                <w:szCs w:val="22"/>
              </w:rPr>
              <w:t xml:space="preserve">Global Perspectives: </w:t>
            </w:r>
            <w:r>
              <w:rPr>
                <w:rFonts w:ascii="Arial" w:eastAsia="Arial" w:hAnsi="Arial" w:cs="Arial"/>
                <w:sz w:val="22"/>
                <w:szCs w:val="22"/>
              </w:rPr>
              <w:t>The Winter Study Abroad program, Netherlands, Germany, Belgium: International &amp; Multicultural Perspectives in Education program provides students an enriching opportunity to integrate themselves into another culture, as well as insight into the multilevel contexts that affect human development and education. By reflecting on the similarities, differences, and intersections of the schools and nations visited, students can gain culturally responsive perspectives that can be applied to the diverse individuals they encounter in their lives and careers in the United States. Currently, it is awaiting approval for a General Education Diversity credit by the university.</w:t>
            </w:r>
          </w:p>
          <w:p w14:paraId="0E9CA9DA" w14:textId="77777777" w:rsidR="00D55C1E" w:rsidRDefault="00D55C1E">
            <w:pPr>
              <w:pBdr>
                <w:top w:val="nil"/>
                <w:left w:val="nil"/>
                <w:bottom w:val="nil"/>
                <w:right w:val="nil"/>
                <w:between w:val="nil"/>
              </w:pBdr>
              <w:rPr>
                <w:rFonts w:ascii="Arial" w:eastAsia="Arial" w:hAnsi="Arial" w:cs="Arial"/>
                <w:sz w:val="22"/>
                <w:szCs w:val="22"/>
              </w:rPr>
            </w:pPr>
          </w:p>
          <w:p w14:paraId="2B2CCD7D" w14:textId="77777777" w:rsidR="00D55C1E" w:rsidRDefault="00EB0A4E">
            <w:pPr>
              <w:numPr>
                <w:ilvl w:val="0"/>
                <w:numId w:val="32"/>
              </w:numPr>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Praxis Supports:</w:t>
            </w:r>
            <w:r>
              <w:rPr>
                <w:rFonts w:ascii="Arial" w:eastAsia="Arial" w:hAnsi="Arial" w:cs="Arial"/>
                <w:sz w:val="22"/>
                <w:szCs w:val="22"/>
              </w:rPr>
              <w:t xml:space="preserve"> College stakeholders created several initiatives to offer assistance and study materials for Praxis test takers. The Assessment Office redesigned a section of its website to answer students' questions about Praxis policies, location, registration, links, and other information in one place. An internal document collecting tutoring, practice exams, vouchers, and online assessment resources went to advisors to better inform students about the assessment during appointments. Secondary teacher education faculty convened a workgroup for academic Praxis support to collaborate with other departments, expanding efforts in 2023-24. </w:t>
            </w:r>
          </w:p>
          <w:p w14:paraId="70D3FE36" w14:textId="77777777" w:rsidR="00D55C1E" w:rsidRDefault="00D55C1E">
            <w:pPr>
              <w:pBdr>
                <w:top w:val="nil"/>
                <w:left w:val="nil"/>
                <w:bottom w:val="nil"/>
                <w:right w:val="nil"/>
                <w:between w:val="nil"/>
              </w:pBdr>
              <w:rPr>
                <w:rFonts w:ascii="Arial" w:eastAsia="Arial" w:hAnsi="Arial" w:cs="Arial"/>
                <w:b/>
                <w:sz w:val="22"/>
                <w:szCs w:val="22"/>
                <w:u w:val="single"/>
              </w:rPr>
            </w:pPr>
          </w:p>
          <w:p w14:paraId="0FCC5A9A" w14:textId="77777777" w:rsidR="00D55C1E" w:rsidRDefault="00EB0A4E">
            <w:pPr>
              <w:numPr>
                <w:ilvl w:val="0"/>
                <w:numId w:val="27"/>
              </w:numPr>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Survey Revisions and Streamlining</w:t>
            </w:r>
            <w:r>
              <w:rPr>
                <w:rFonts w:ascii="Arial" w:eastAsia="Arial" w:hAnsi="Arial" w:cs="Arial"/>
                <w:b/>
                <w:sz w:val="22"/>
                <w:szCs w:val="22"/>
                <w:u w:val="single"/>
              </w:rPr>
              <w:t>:</w:t>
            </w:r>
            <w:r>
              <w:rPr>
                <w:rFonts w:ascii="Arial" w:eastAsia="Arial" w:hAnsi="Arial" w:cs="Arial"/>
                <w:sz w:val="22"/>
                <w:szCs w:val="22"/>
              </w:rPr>
              <w:t xml:space="preserve"> </w:t>
            </w:r>
          </w:p>
          <w:p w14:paraId="2DBC7886" w14:textId="77777777" w:rsidR="00D55C1E" w:rsidRDefault="00D55C1E">
            <w:pPr>
              <w:pBdr>
                <w:top w:val="nil"/>
                <w:left w:val="nil"/>
                <w:bottom w:val="nil"/>
                <w:right w:val="nil"/>
                <w:between w:val="nil"/>
              </w:pBdr>
              <w:ind w:left="720"/>
              <w:rPr>
                <w:rFonts w:ascii="Arial" w:eastAsia="Arial" w:hAnsi="Arial" w:cs="Arial"/>
                <w:sz w:val="22"/>
                <w:szCs w:val="22"/>
              </w:rPr>
            </w:pPr>
          </w:p>
          <w:p w14:paraId="32687776" w14:textId="77777777" w:rsidR="00D55C1E" w:rsidRDefault="00EB0A4E">
            <w:pPr>
              <w:numPr>
                <w:ilvl w:val="1"/>
                <w:numId w:val="27"/>
              </w:numPr>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Exit-Internship Surveys</w:t>
            </w:r>
            <w:r>
              <w:rPr>
                <w:rFonts w:ascii="Arial" w:eastAsia="Arial" w:hAnsi="Arial" w:cs="Arial"/>
                <w:sz w:val="22"/>
                <w:szCs w:val="22"/>
              </w:rPr>
              <w:t xml:space="preserve">: Integrating feedback from interns, the College merged the exit and internship surveys to reduce the frequency of communication about overlapping instruments. The combined instrument assesses how well our programs have prepared students to become future teachers. In addition, it asks for feedback about the </w:t>
            </w:r>
            <w:proofErr w:type="spellStart"/>
            <w:r>
              <w:rPr>
                <w:rFonts w:ascii="Arial" w:eastAsia="Arial" w:hAnsi="Arial" w:cs="Arial"/>
                <w:sz w:val="22"/>
                <w:szCs w:val="22"/>
              </w:rPr>
              <w:t>edTPA</w:t>
            </w:r>
            <w:proofErr w:type="spellEnd"/>
            <w:r>
              <w:rPr>
                <w:rFonts w:ascii="Arial" w:eastAsia="Arial" w:hAnsi="Arial" w:cs="Arial"/>
                <w:sz w:val="22"/>
                <w:szCs w:val="22"/>
              </w:rPr>
              <w:t xml:space="preserve">, mentor teacher, University supervisor, University PDS coordinator, and future employment. Finally, the questionnaire requests permission to maintain contact for engagement in your professional career for induction, </w:t>
            </w:r>
            <w:r w:rsidR="00F35C35">
              <w:rPr>
                <w:rFonts w:ascii="Arial" w:eastAsia="Arial" w:hAnsi="Arial" w:cs="Arial"/>
                <w:sz w:val="22"/>
                <w:szCs w:val="22"/>
              </w:rPr>
              <w:t>alum</w:t>
            </w:r>
            <w:r>
              <w:rPr>
                <w:rFonts w:ascii="Arial" w:eastAsia="Arial" w:hAnsi="Arial" w:cs="Arial"/>
                <w:sz w:val="22"/>
                <w:szCs w:val="22"/>
              </w:rPr>
              <w:t xml:space="preserve"> connections, and other teacher education events. By inquiring about known employment before graduation, we hope to find another avenue to obtain employment information as we work towards official county agreements.   </w:t>
            </w:r>
          </w:p>
          <w:p w14:paraId="6CBBA7FB" w14:textId="77777777" w:rsidR="00D55C1E" w:rsidRDefault="00D55C1E">
            <w:pPr>
              <w:pBdr>
                <w:top w:val="nil"/>
                <w:left w:val="nil"/>
                <w:bottom w:val="nil"/>
                <w:right w:val="nil"/>
                <w:between w:val="nil"/>
              </w:pBdr>
              <w:ind w:left="720"/>
              <w:rPr>
                <w:rFonts w:ascii="Arial" w:eastAsia="Arial" w:hAnsi="Arial" w:cs="Arial"/>
                <w:b/>
                <w:sz w:val="22"/>
                <w:szCs w:val="22"/>
                <w:u w:val="single"/>
              </w:rPr>
            </w:pPr>
          </w:p>
          <w:p w14:paraId="76283846" w14:textId="77777777" w:rsidR="00D55C1E" w:rsidRDefault="00EB0A4E">
            <w:pPr>
              <w:numPr>
                <w:ilvl w:val="1"/>
                <w:numId w:val="27"/>
              </w:numPr>
              <w:pBdr>
                <w:top w:val="nil"/>
                <w:left w:val="nil"/>
                <w:bottom w:val="nil"/>
                <w:right w:val="nil"/>
                <w:between w:val="nil"/>
              </w:pBdr>
              <w:rPr>
                <w:rFonts w:ascii="Arial" w:eastAsia="Arial" w:hAnsi="Arial" w:cs="Arial"/>
                <w:b/>
                <w:sz w:val="22"/>
                <w:szCs w:val="22"/>
              </w:rPr>
            </w:pPr>
            <w:r>
              <w:rPr>
                <w:rFonts w:ascii="Arial" w:eastAsia="Arial" w:hAnsi="Arial" w:cs="Arial"/>
                <w:b/>
                <w:sz w:val="22"/>
                <w:szCs w:val="22"/>
              </w:rPr>
              <w:t>Tech Survey:</w:t>
            </w:r>
            <w:r>
              <w:rPr>
                <w:rFonts w:ascii="Arial" w:eastAsia="Arial" w:hAnsi="Arial" w:cs="Arial"/>
                <w:sz w:val="22"/>
                <w:szCs w:val="22"/>
              </w:rPr>
              <w:t xml:space="preserve"> Our Assessment Team assembled an ISTE-Tech SME group to find the best ways for our interns to display their technical proficiency and apply it to classroom instruction. Additionally, the group improved how the College </w:t>
            </w:r>
            <w:proofErr w:type="gramStart"/>
            <w:r>
              <w:rPr>
                <w:rFonts w:ascii="Arial" w:eastAsia="Arial" w:hAnsi="Arial" w:cs="Arial"/>
                <w:sz w:val="22"/>
                <w:szCs w:val="22"/>
              </w:rPr>
              <w:t>models</w:t>
            </w:r>
            <w:proofErr w:type="gramEnd"/>
            <w:r>
              <w:rPr>
                <w:rFonts w:ascii="Arial" w:eastAsia="Arial" w:hAnsi="Arial" w:cs="Arial"/>
                <w:sz w:val="22"/>
                <w:szCs w:val="22"/>
              </w:rPr>
              <w:t xml:space="preserve"> technology for candidates to meet the district partners’ expectations for software, hardware, and compliance knowledge. Afterward, the Technology and Digital Tools survey identified the proficiency gap between </w:t>
            </w:r>
            <w:r>
              <w:rPr>
                <w:rFonts w:ascii="Arial" w:eastAsia="Arial" w:hAnsi="Arial" w:cs="Arial"/>
                <w:sz w:val="22"/>
                <w:szCs w:val="22"/>
              </w:rPr>
              <w:lastRenderedPageBreak/>
              <w:t xml:space="preserve">interns and District Partner expectations by collecting first-hand feedback from stakeholders, including mentor teachers, school administrators, undergraduate seniors, and graduate-level initial certification students. Next, the Assessment Office used the output to lead the Tech Survey’s initial teacher certification </w:t>
            </w:r>
            <w:r w:rsidR="00683A35">
              <w:rPr>
                <w:rFonts w:ascii="Arial" w:eastAsia="Arial" w:hAnsi="Arial" w:cs="Arial"/>
                <w:sz w:val="22"/>
                <w:szCs w:val="22"/>
              </w:rPr>
              <w:t>candidate’s</w:t>
            </w:r>
            <w:r>
              <w:rPr>
                <w:rFonts w:ascii="Arial" w:eastAsia="Arial" w:hAnsi="Arial" w:cs="Arial"/>
                <w:sz w:val="22"/>
                <w:szCs w:val="22"/>
              </w:rPr>
              <w:t xml:space="preserve"> revision. The redesign launched a LAWSHE, incorporating undergraduate students, graduate assistants, and faculty input.</w:t>
            </w:r>
            <w:r>
              <w:rPr>
                <w:rFonts w:ascii="Arial" w:eastAsia="Arial" w:hAnsi="Arial" w:cs="Arial"/>
                <w:i/>
                <w:sz w:val="22"/>
                <w:szCs w:val="22"/>
              </w:rPr>
              <w:t xml:space="preserve"> </w:t>
            </w:r>
          </w:p>
          <w:p w14:paraId="0003CB72" w14:textId="77777777" w:rsidR="00D55C1E" w:rsidRDefault="00D55C1E">
            <w:pPr>
              <w:pBdr>
                <w:top w:val="nil"/>
                <w:left w:val="nil"/>
                <w:bottom w:val="nil"/>
                <w:right w:val="nil"/>
                <w:between w:val="nil"/>
              </w:pBdr>
              <w:rPr>
                <w:rFonts w:ascii="Arial" w:eastAsia="Arial" w:hAnsi="Arial" w:cs="Arial"/>
                <w:sz w:val="22"/>
                <w:szCs w:val="22"/>
              </w:rPr>
            </w:pPr>
          </w:p>
          <w:p w14:paraId="2CA08B30" w14:textId="77777777" w:rsidR="00D55C1E" w:rsidRDefault="00EB0A4E">
            <w:pPr>
              <w:numPr>
                <w:ilvl w:val="0"/>
                <w:numId w:val="19"/>
              </w:numPr>
              <w:pBdr>
                <w:top w:val="nil"/>
                <w:left w:val="nil"/>
                <w:bottom w:val="nil"/>
                <w:right w:val="nil"/>
                <w:between w:val="nil"/>
              </w:pBdr>
              <w:rPr>
                <w:rFonts w:ascii="Arial" w:eastAsia="Arial" w:hAnsi="Arial" w:cs="Arial"/>
                <w:sz w:val="22"/>
                <w:szCs w:val="22"/>
              </w:rPr>
            </w:pPr>
            <w:r>
              <w:rPr>
                <w:rFonts w:ascii="Arial" w:eastAsia="Arial" w:hAnsi="Arial" w:cs="Arial"/>
                <w:b/>
                <w:sz w:val="22"/>
                <w:szCs w:val="22"/>
              </w:rPr>
              <w:t>Induction</w:t>
            </w:r>
            <w:r>
              <w:rPr>
                <w:rFonts w:ascii="Arial" w:eastAsia="Arial" w:hAnsi="Arial" w:cs="Arial"/>
                <w:sz w:val="22"/>
                <w:szCs w:val="22"/>
              </w:rPr>
              <w:t>: The Special Education Program was awarded federal funding (</w:t>
            </w:r>
            <w:r w:rsidR="00F35C35">
              <w:rPr>
                <w:rFonts w:ascii="Arial" w:eastAsia="Arial" w:hAnsi="Arial" w:cs="Arial"/>
                <w:sz w:val="22"/>
                <w:szCs w:val="22"/>
              </w:rPr>
              <w:t>$</w:t>
            </w:r>
            <w:r>
              <w:rPr>
                <w:rFonts w:ascii="Arial" w:eastAsia="Arial" w:hAnsi="Arial" w:cs="Arial"/>
                <w:sz w:val="22"/>
                <w:szCs w:val="22"/>
              </w:rPr>
              <w:t>1.25 million) to support two cohorts of students (n=28) through induction-year teaching. Students will receive financial support towards an internship, master’s credits, and individualized coaching during the initial year of teaching to bridge the partnership between UMD and local districts.  Students will be supported from year 3 of the program to the first year of induction teaching.</w:t>
            </w:r>
          </w:p>
          <w:p w14:paraId="260881D0" w14:textId="77777777" w:rsidR="00D55C1E" w:rsidRDefault="00D55C1E">
            <w:pPr>
              <w:pBdr>
                <w:top w:val="nil"/>
                <w:left w:val="nil"/>
                <w:bottom w:val="nil"/>
                <w:right w:val="nil"/>
                <w:between w:val="nil"/>
              </w:pBdr>
              <w:ind w:left="720"/>
              <w:rPr>
                <w:rFonts w:ascii="Arial" w:eastAsia="Arial" w:hAnsi="Arial" w:cs="Arial"/>
                <w:sz w:val="22"/>
                <w:szCs w:val="22"/>
              </w:rPr>
            </w:pPr>
          </w:p>
          <w:p w14:paraId="2F68D3E7" w14:textId="77777777" w:rsidR="00D55C1E" w:rsidRDefault="00EB0A4E">
            <w:pPr>
              <w:numPr>
                <w:ilvl w:val="0"/>
                <w:numId w:val="29"/>
              </w:numPr>
              <w:pBdr>
                <w:top w:val="none" w:sz="0" w:space="0" w:color="auto"/>
                <w:left w:val="none" w:sz="0" w:space="0" w:color="auto"/>
                <w:bottom w:val="none" w:sz="0" w:space="0" w:color="auto"/>
                <w:right w:val="none" w:sz="0" w:space="0" w:color="auto"/>
                <w:between w:val="none" w:sz="0" w:space="0" w:color="auto"/>
              </w:pBdr>
              <w:rPr>
                <w:rFonts w:ascii="Arial" w:eastAsia="Arial" w:hAnsi="Arial" w:cs="Arial"/>
                <w:b/>
                <w:sz w:val="22"/>
                <w:szCs w:val="22"/>
              </w:rPr>
            </w:pPr>
            <w:r>
              <w:rPr>
                <w:rFonts w:ascii="Arial" w:eastAsia="Arial" w:hAnsi="Arial" w:cs="Arial"/>
                <w:b/>
                <w:sz w:val="22"/>
                <w:szCs w:val="22"/>
              </w:rPr>
              <w:t xml:space="preserve">Empowering Education Majors: </w:t>
            </w:r>
            <w:r>
              <w:rPr>
                <w:rFonts w:ascii="Arial" w:eastAsia="Arial" w:hAnsi="Arial" w:cs="Arial"/>
                <w:sz w:val="22"/>
                <w:szCs w:val="22"/>
              </w:rPr>
              <w:t>UNIV100 is an orientation course for Education majors that helps new students transition to university life by exploring academic interests, discovering campus resources, and building relationships with faculty and peers. There are several assignments for the course, including a journal reflection that examines the integral influence of diversity on the student’s personal life, interactions with others, and future career as an educator. This course also emphasizes bystander intervention strategies through Step-Up training and asks students to reflect on their role as active bystanders, members of the University community, and educators. UNIV100 prioritizes students' continuous growth and improvement through a reflection assignment that encourages students to evaluate their personal, academic, and career goals, transition to university life, overall well-being, and the challenges associated with each factor. This course also supports students in developing their 4-year plan and learning about the different opportunities within the field of education. This course empowers students to determine and pursue their goals by providing them with resources and guidance within the College of Education and the University.</w:t>
            </w:r>
          </w:p>
          <w:p w14:paraId="6396241D" w14:textId="77777777" w:rsidR="00D55C1E" w:rsidRDefault="00D55C1E">
            <w:pPr>
              <w:rPr>
                <w:rFonts w:ascii="Arial" w:eastAsia="Arial" w:hAnsi="Arial" w:cs="Arial"/>
                <w:sz w:val="22"/>
                <w:szCs w:val="22"/>
              </w:rPr>
            </w:pPr>
          </w:p>
        </w:tc>
      </w:tr>
      <w:tr w:rsidR="00D55C1E" w14:paraId="2DDB3BD3" w14:textId="77777777">
        <w:trPr>
          <w:trHeight w:val="970"/>
        </w:trPr>
        <w:tc>
          <w:tcPr>
            <w:tcW w:w="12915" w:type="dxa"/>
            <w:shd w:val="clear" w:color="auto" w:fill="D0E0E3"/>
            <w:tcMar>
              <w:top w:w="100" w:type="dxa"/>
              <w:left w:w="100" w:type="dxa"/>
              <w:bottom w:w="100" w:type="dxa"/>
              <w:right w:w="100" w:type="dxa"/>
            </w:tcMar>
          </w:tcPr>
          <w:p w14:paraId="64D08069" w14:textId="77777777" w:rsidR="00D55C1E" w:rsidRDefault="00D55C1E">
            <w:pPr>
              <w:ind w:left="440"/>
              <w:rPr>
                <w:b/>
              </w:rPr>
            </w:pPr>
          </w:p>
        </w:tc>
      </w:tr>
    </w:tbl>
    <w:p w14:paraId="4E92D4E9" w14:textId="77777777" w:rsidR="00D55C1E" w:rsidRDefault="00D55C1E">
      <w:pPr>
        <w:jc w:val="center"/>
        <w:rPr>
          <w:b/>
          <w:sz w:val="32"/>
          <w:szCs w:val="32"/>
        </w:rPr>
      </w:pPr>
    </w:p>
    <w:p w14:paraId="71FEBE84" w14:textId="77777777" w:rsidR="00D55C1E" w:rsidRDefault="00EB0A4E">
      <w:pPr>
        <w:rPr>
          <w:b/>
          <w:sz w:val="32"/>
          <w:szCs w:val="32"/>
        </w:rPr>
      </w:pPr>
      <w:r>
        <w:br w:type="page"/>
      </w:r>
      <w:bookmarkStart w:id="2" w:name="_GoBack"/>
      <w:bookmarkEnd w:id="2"/>
    </w:p>
    <w:sectPr w:rsidR="00D55C1E">
      <w:type w:val="continuous"/>
      <w:pgSz w:w="15840" w:h="12240" w:orient="landscape"/>
      <w:pgMar w:top="1260" w:right="1440" w:bottom="1440" w:left="1440" w:header="720" w:footer="49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D8523D" w14:textId="77777777" w:rsidR="007151DC" w:rsidRDefault="007151DC">
      <w:pPr>
        <w:spacing w:line="240" w:lineRule="auto"/>
      </w:pPr>
      <w:r>
        <w:separator/>
      </w:r>
    </w:p>
  </w:endnote>
  <w:endnote w:type="continuationSeparator" w:id="0">
    <w:p w14:paraId="390B5585" w14:textId="77777777" w:rsidR="007151DC" w:rsidRDefault="007151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1E103" w14:textId="77777777" w:rsidR="00D55C1E" w:rsidRDefault="00EB0A4E">
    <w:pPr>
      <w:tabs>
        <w:tab w:val="right" w:pos="12960"/>
      </w:tabs>
    </w:pPr>
    <w:r>
      <w:t>© Association for Advancing Quality in Educator Preparation – 2023</w:t>
    </w:r>
    <w:r>
      <w:tab/>
    </w:r>
    <w:r>
      <w:fldChar w:fldCharType="begin"/>
    </w:r>
    <w:r>
      <w:instrText>PAGE</w:instrText>
    </w:r>
    <w:r>
      <w:fldChar w:fldCharType="separate"/>
    </w:r>
    <w:r w:rsidR="00375EB6">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C6D79" w14:textId="77777777" w:rsidR="00D55C1E" w:rsidRDefault="00EB0A4E">
    <w:pPr>
      <w:tabs>
        <w:tab w:val="right" w:pos="12960"/>
      </w:tabs>
    </w:pPr>
    <w:r>
      <w:t>© Association for Advancing Quality in Educator Preparation – 2023</w:t>
    </w:r>
    <w:r>
      <w:tab/>
    </w:r>
    <w:r>
      <w:fldChar w:fldCharType="begin"/>
    </w:r>
    <w:r>
      <w:instrText>PAGE</w:instrText>
    </w:r>
    <w:r>
      <w:fldChar w:fldCharType="separate"/>
    </w:r>
    <w:r w:rsidR="00375EB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69F452" w14:textId="77777777" w:rsidR="007151DC" w:rsidRDefault="007151DC">
      <w:pPr>
        <w:spacing w:line="240" w:lineRule="auto"/>
      </w:pPr>
      <w:r>
        <w:separator/>
      </w:r>
    </w:p>
  </w:footnote>
  <w:footnote w:type="continuationSeparator" w:id="0">
    <w:p w14:paraId="3F62E1F2" w14:textId="77777777" w:rsidR="007151DC" w:rsidRDefault="007151D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9B6C9" w14:textId="77777777" w:rsidR="00D55C1E" w:rsidRDefault="00EB0A4E">
    <w:pPr>
      <w:spacing w:after="360" w:line="240" w:lineRule="auto"/>
      <w:jc w:val="center"/>
      <w:rPr>
        <w:rFonts w:ascii="Century Gothic" w:eastAsia="Century Gothic" w:hAnsi="Century Gothic" w:cs="Century Gothic"/>
        <w:sz w:val="21"/>
        <w:szCs w:val="21"/>
      </w:rPr>
    </w:pPr>
    <w:r>
      <w:rPr>
        <w:rFonts w:ascii="Century Gothic" w:eastAsia="Century Gothic" w:hAnsi="Century Gothic" w:cs="Century Gothic"/>
        <w:noProof/>
        <w:sz w:val="21"/>
        <w:szCs w:val="21"/>
      </w:rPr>
      <w:drawing>
        <wp:inline distT="114300" distB="114300" distL="114300" distR="114300" wp14:anchorId="26D96CD9" wp14:editId="7E3179D9">
          <wp:extent cx="1821141" cy="133826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21141" cy="133826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C3A3C"/>
    <w:multiLevelType w:val="multilevel"/>
    <w:tmpl w:val="9E4675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67052C"/>
    <w:multiLevelType w:val="multilevel"/>
    <w:tmpl w:val="2BA6DC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F08464A"/>
    <w:multiLevelType w:val="multilevel"/>
    <w:tmpl w:val="AF90BC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1DB411D"/>
    <w:multiLevelType w:val="multilevel"/>
    <w:tmpl w:val="8A8480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797255C"/>
    <w:multiLevelType w:val="multilevel"/>
    <w:tmpl w:val="C6A8AB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0C30BD8"/>
    <w:multiLevelType w:val="multilevel"/>
    <w:tmpl w:val="11CE81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0DA0AFB"/>
    <w:multiLevelType w:val="multilevel"/>
    <w:tmpl w:val="02CC92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3692BC6"/>
    <w:multiLevelType w:val="multilevel"/>
    <w:tmpl w:val="F77E2A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F09206B"/>
    <w:multiLevelType w:val="multilevel"/>
    <w:tmpl w:val="E760E9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E75CFF"/>
    <w:multiLevelType w:val="multilevel"/>
    <w:tmpl w:val="D33063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4B677F2"/>
    <w:multiLevelType w:val="multilevel"/>
    <w:tmpl w:val="C1DEE1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F881584"/>
    <w:multiLevelType w:val="multilevel"/>
    <w:tmpl w:val="15CEC9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0D91380"/>
    <w:multiLevelType w:val="multilevel"/>
    <w:tmpl w:val="82706D6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46113469"/>
    <w:multiLevelType w:val="multilevel"/>
    <w:tmpl w:val="BEF694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99815B5"/>
    <w:multiLevelType w:val="multilevel"/>
    <w:tmpl w:val="F5C665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9C25AC9"/>
    <w:multiLevelType w:val="multilevel"/>
    <w:tmpl w:val="14B028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A4E4EFA"/>
    <w:multiLevelType w:val="multilevel"/>
    <w:tmpl w:val="044C15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EFA014D"/>
    <w:multiLevelType w:val="multilevel"/>
    <w:tmpl w:val="20269194"/>
    <w:lvl w:ilvl="0">
      <w:start w:val="2"/>
      <w:numFmt w:val="decimal"/>
      <w:lvlText w:val="%1."/>
      <w:lvlJc w:val="left"/>
      <w:pPr>
        <w:ind w:left="720" w:hanging="360"/>
      </w:pPr>
      <w:rPr>
        <w:sz w:val="28"/>
        <w:szCs w:val="2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51EA44B6"/>
    <w:multiLevelType w:val="multilevel"/>
    <w:tmpl w:val="7B9EE2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4CA1018"/>
    <w:multiLevelType w:val="multilevel"/>
    <w:tmpl w:val="42DA37A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57B62ABE"/>
    <w:multiLevelType w:val="multilevel"/>
    <w:tmpl w:val="F6B645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D03092A"/>
    <w:multiLevelType w:val="multilevel"/>
    <w:tmpl w:val="860279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DEA220F"/>
    <w:multiLevelType w:val="multilevel"/>
    <w:tmpl w:val="C6007E9A"/>
    <w:lvl w:ilvl="0">
      <w:start w:val="7"/>
      <w:numFmt w:val="decimal"/>
      <w:lvlText w:val="%1."/>
      <w:lvlJc w:val="left"/>
      <w:pPr>
        <w:ind w:left="720" w:hanging="360"/>
      </w:pPr>
      <w:rPr>
        <w:sz w:val="28"/>
        <w:szCs w:val="2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68BF33D3"/>
    <w:multiLevelType w:val="multilevel"/>
    <w:tmpl w:val="C6948F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9CD3586"/>
    <w:multiLevelType w:val="multilevel"/>
    <w:tmpl w:val="0F14F0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CDD20B0"/>
    <w:multiLevelType w:val="multilevel"/>
    <w:tmpl w:val="60C6FF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1052236"/>
    <w:multiLevelType w:val="multilevel"/>
    <w:tmpl w:val="6882CE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712A3308"/>
    <w:multiLevelType w:val="multilevel"/>
    <w:tmpl w:val="07B86E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A1D71AB"/>
    <w:multiLevelType w:val="multilevel"/>
    <w:tmpl w:val="D55016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C82516B"/>
    <w:multiLevelType w:val="multilevel"/>
    <w:tmpl w:val="55DC6F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D9F16A4"/>
    <w:multiLevelType w:val="multilevel"/>
    <w:tmpl w:val="78D275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E265988"/>
    <w:multiLevelType w:val="multilevel"/>
    <w:tmpl w:val="10F619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5"/>
  </w:num>
  <w:num w:numId="2">
    <w:abstractNumId w:val="26"/>
  </w:num>
  <w:num w:numId="3">
    <w:abstractNumId w:val="8"/>
  </w:num>
  <w:num w:numId="4">
    <w:abstractNumId w:val="6"/>
  </w:num>
  <w:num w:numId="5">
    <w:abstractNumId w:val="22"/>
  </w:num>
  <w:num w:numId="6">
    <w:abstractNumId w:val="17"/>
  </w:num>
  <w:num w:numId="7">
    <w:abstractNumId w:val="14"/>
  </w:num>
  <w:num w:numId="8">
    <w:abstractNumId w:val="27"/>
  </w:num>
  <w:num w:numId="9">
    <w:abstractNumId w:val="16"/>
  </w:num>
  <w:num w:numId="10">
    <w:abstractNumId w:val="15"/>
  </w:num>
  <w:num w:numId="11">
    <w:abstractNumId w:val="2"/>
  </w:num>
  <w:num w:numId="12">
    <w:abstractNumId w:val="4"/>
  </w:num>
  <w:num w:numId="13">
    <w:abstractNumId w:val="20"/>
  </w:num>
  <w:num w:numId="14">
    <w:abstractNumId w:val="29"/>
  </w:num>
  <w:num w:numId="15">
    <w:abstractNumId w:val="12"/>
  </w:num>
  <w:num w:numId="16">
    <w:abstractNumId w:val="19"/>
  </w:num>
  <w:num w:numId="17">
    <w:abstractNumId w:val="23"/>
  </w:num>
  <w:num w:numId="18">
    <w:abstractNumId w:val="5"/>
  </w:num>
  <w:num w:numId="19">
    <w:abstractNumId w:val="11"/>
  </w:num>
  <w:num w:numId="20">
    <w:abstractNumId w:val="3"/>
  </w:num>
  <w:num w:numId="21">
    <w:abstractNumId w:val="18"/>
  </w:num>
  <w:num w:numId="22">
    <w:abstractNumId w:val="13"/>
  </w:num>
  <w:num w:numId="23">
    <w:abstractNumId w:val="28"/>
  </w:num>
  <w:num w:numId="24">
    <w:abstractNumId w:val="9"/>
  </w:num>
  <w:num w:numId="25">
    <w:abstractNumId w:val="31"/>
  </w:num>
  <w:num w:numId="26">
    <w:abstractNumId w:val="30"/>
  </w:num>
  <w:num w:numId="27">
    <w:abstractNumId w:val="1"/>
  </w:num>
  <w:num w:numId="28">
    <w:abstractNumId w:val="21"/>
  </w:num>
  <w:num w:numId="29">
    <w:abstractNumId w:val="10"/>
  </w:num>
  <w:num w:numId="30">
    <w:abstractNumId w:val="7"/>
  </w:num>
  <w:num w:numId="31">
    <w:abstractNumId w:val="0"/>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C1E"/>
    <w:rsid w:val="001E04FF"/>
    <w:rsid w:val="002E3927"/>
    <w:rsid w:val="00375EB6"/>
    <w:rsid w:val="004D7B65"/>
    <w:rsid w:val="00622585"/>
    <w:rsid w:val="006420F2"/>
    <w:rsid w:val="006722F6"/>
    <w:rsid w:val="00683A35"/>
    <w:rsid w:val="007151DC"/>
    <w:rsid w:val="007D2267"/>
    <w:rsid w:val="00AB79F8"/>
    <w:rsid w:val="00CE7AF6"/>
    <w:rsid w:val="00D55C1E"/>
    <w:rsid w:val="00EB0A4E"/>
    <w:rsid w:val="00F35C35"/>
    <w:rsid w:val="00FE467D"/>
    <w:rsid w:val="00FE6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2CDD0"/>
  <w15:docId w15:val="{35773B1D-9A3E-0447-B651-749411C9E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mbria" w:eastAsia="Cambria" w:hAnsi="Cambria" w:cs="Cambria"/>
      <w:color w:val="000000"/>
      <w:sz w:val="24"/>
      <w:szCs w:val="24"/>
    </w:rPr>
    <w:tblPr>
      <w:tblStyleRowBandSize w:val="1"/>
      <w:tblStyleColBandSize w:val="1"/>
      <w:tblCellMar>
        <w:top w:w="100" w:type="dxa"/>
        <w:left w:w="100" w:type="dxa"/>
        <w:bottom w:w="100" w:type="dxa"/>
        <w:right w:w="100" w:type="dxa"/>
      </w:tblCellMar>
    </w:tblPr>
  </w:style>
  <w:style w:type="table" w:customStyle="1" w:styleId="a0">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mbria" w:eastAsia="Cambria" w:hAnsi="Cambria" w:cs="Cambria"/>
      <w:color w:val="000000"/>
      <w:sz w:val="24"/>
      <w:szCs w:val="24"/>
    </w:rPr>
    <w:tblPr>
      <w:tblStyleRowBandSize w:val="1"/>
      <w:tblStyleColBandSize w:val="1"/>
      <w:tblCellMar>
        <w:top w:w="100" w:type="dxa"/>
        <w:left w:w="100" w:type="dxa"/>
        <w:bottom w:w="100" w:type="dxa"/>
        <w:right w:w="100" w:type="dxa"/>
      </w:tblCellMar>
    </w:tblPr>
  </w:style>
  <w:style w:type="table" w:customStyle="1" w:styleId="a1">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mbria" w:eastAsia="Cambria" w:hAnsi="Cambria" w:cs="Cambria"/>
      <w:color w:val="000000"/>
      <w:sz w:val="24"/>
      <w:szCs w:val="24"/>
    </w:rPr>
    <w:tblPr>
      <w:tblStyleRowBandSize w:val="1"/>
      <w:tblStyleColBandSize w:val="1"/>
      <w:tblCellMar>
        <w:top w:w="100" w:type="dxa"/>
        <w:left w:w="100" w:type="dxa"/>
        <w:bottom w:w="100" w:type="dxa"/>
        <w:right w:w="100" w:type="dxa"/>
      </w:tblCellMar>
    </w:tblPr>
  </w:style>
  <w:style w:type="table" w:customStyle="1" w:styleId="a2">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mbria" w:eastAsia="Cambria" w:hAnsi="Cambria" w:cs="Cambria"/>
      <w:color w:val="000000"/>
      <w:sz w:val="24"/>
      <w:szCs w:val="24"/>
    </w:rPr>
    <w:tblPr>
      <w:tblStyleRowBandSize w:val="1"/>
      <w:tblStyleColBandSize w:val="1"/>
      <w:tblCellMar>
        <w:top w:w="100" w:type="dxa"/>
        <w:left w:w="100" w:type="dxa"/>
        <w:bottom w:w="100" w:type="dxa"/>
        <w:right w:w="100" w:type="dxa"/>
      </w:tblCellMar>
    </w:tblPr>
  </w:style>
  <w:style w:type="table" w:customStyle="1" w:styleId="a3">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mbria" w:eastAsia="Cambria" w:hAnsi="Cambria" w:cs="Cambria"/>
      <w:color w:val="000000"/>
      <w:sz w:val="24"/>
      <w:szCs w:val="24"/>
    </w:rPr>
    <w:tblPr>
      <w:tblStyleRowBandSize w:val="1"/>
      <w:tblStyleColBandSize w:val="1"/>
      <w:tblCellMar>
        <w:top w:w="100" w:type="dxa"/>
        <w:left w:w="100" w:type="dxa"/>
        <w:bottom w:w="100" w:type="dxa"/>
        <w:right w:w="100" w:type="dxa"/>
      </w:tblCellMar>
    </w:tblPr>
  </w:style>
  <w:style w:type="table" w:customStyle="1" w:styleId="a4">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mbria" w:eastAsia="Cambria" w:hAnsi="Cambria" w:cs="Cambria"/>
      <w:color w:val="000000"/>
      <w:sz w:val="24"/>
      <w:szCs w:val="24"/>
    </w:rPr>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mbria" w:eastAsia="Cambria" w:hAnsi="Cambria" w:cs="Cambria"/>
      <w:color w:val="000000"/>
      <w:sz w:val="24"/>
      <w:szCs w:val="24"/>
    </w:rPr>
    <w:tblPr>
      <w:tblStyleRowBandSize w:val="1"/>
      <w:tblStyleColBandSize w:val="1"/>
      <w:tblCellMar>
        <w:top w:w="100" w:type="dxa"/>
        <w:left w:w="100" w:type="dxa"/>
        <w:bottom w:w="100" w:type="dxa"/>
        <w:right w:w="100" w:type="dxa"/>
      </w:tblCellMar>
    </w:tblPr>
  </w:style>
  <w:style w:type="table" w:customStyle="1" w:styleId="a9">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mbria" w:eastAsia="Cambria" w:hAnsi="Cambria" w:cs="Cambria"/>
      <w:color w:val="000000"/>
      <w:sz w:val="24"/>
      <w:szCs w:val="24"/>
    </w:rPr>
    <w:tblPr>
      <w:tblStyleRowBandSize w:val="1"/>
      <w:tblStyleColBandSize w:val="1"/>
      <w:tblCellMar>
        <w:top w:w="100" w:type="dxa"/>
        <w:left w:w="100" w:type="dxa"/>
        <w:bottom w:w="100" w:type="dxa"/>
        <w:right w:w="100" w:type="dxa"/>
      </w:tblCellMar>
    </w:tblPr>
  </w:style>
  <w:style w:type="table" w:customStyle="1" w:styleId="aa">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mbria" w:eastAsia="Cambria" w:hAnsi="Cambria" w:cs="Cambria"/>
      <w:color w:val="000000"/>
      <w:sz w:val="24"/>
      <w:szCs w:val="24"/>
    </w:rPr>
    <w:tblPr>
      <w:tblStyleRowBandSize w:val="1"/>
      <w:tblStyleColBandSize w:val="1"/>
      <w:tblCellMar>
        <w:top w:w="100" w:type="dxa"/>
        <w:left w:w="100" w:type="dxa"/>
        <w:bottom w:w="100" w:type="dxa"/>
        <w:right w:w="100" w:type="dxa"/>
      </w:tblCellMar>
    </w:tblPr>
  </w:style>
  <w:style w:type="table" w:customStyle="1" w:styleId="ab">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mbria" w:eastAsia="Cambria" w:hAnsi="Cambria" w:cs="Cambria"/>
      <w:color w:val="000000"/>
      <w:sz w:val="24"/>
      <w:szCs w:val="24"/>
    </w:rPr>
    <w:tblPr>
      <w:tblStyleRowBandSize w:val="1"/>
      <w:tblStyleColBandSize w:val="1"/>
      <w:tblCellMar>
        <w:top w:w="100" w:type="dxa"/>
        <w:left w:w="100" w:type="dxa"/>
        <w:bottom w:w="100" w:type="dxa"/>
        <w:right w:w="100" w:type="dxa"/>
      </w:tblCellMar>
    </w:tblPr>
  </w:style>
  <w:style w:type="table" w:customStyle="1" w:styleId="ac">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mbria" w:eastAsia="Cambria" w:hAnsi="Cambria" w:cs="Cambria"/>
      <w:color w:val="000000"/>
      <w:sz w:val="24"/>
      <w:szCs w:val="24"/>
    </w:rPr>
    <w:tblPr>
      <w:tblStyleRowBandSize w:val="1"/>
      <w:tblStyleColBandSize w:val="1"/>
      <w:tblCellMar>
        <w:top w:w="100" w:type="dxa"/>
        <w:left w:w="100" w:type="dxa"/>
        <w:bottom w:w="100" w:type="dxa"/>
        <w:right w:w="100" w:type="dxa"/>
      </w:tblCellMar>
    </w:tblPr>
  </w:style>
  <w:style w:type="table" w:customStyle="1" w:styleId="ad">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mbria" w:eastAsia="Cambria" w:hAnsi="Cambria" w:cs="Cambria"/>
      <w:color w:val="000000"/>
      <w:sz w:val="24"/>
      <w:szCs w:val="24"/>
    </w:rPr>
    <w:tblPr>
      <w:tblStyleRowBandSize w:val="1"/>
      <w:tblStyleColBandSize w:val="1"/>
      <w:tblCellMar>
        <w:top w:w="100" w:type="dxa"/>
        <w:left w:w="100" w:type="dxa"/>
        <w:bottom w:w="100" w:type="dxa"/>
        <w:right w:w="100" w:type="dxa"/>
      </w:tblCellMar>
    </w:tblPr>
  </w:style>
  <w:style w:type="table" w:customStyle="1" w:styleId="ae">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mbria" w:eastAsia="Cambria" w:hAnsi="Cambria" w:cs="Cambria"/>
      <w:color w:val="000000"/>
      <w:sz w:val="24"/>
      <w:szCs w:val="24"/>
    </w:rPr>
    <w:tblPr>
      <w:tblStyleRowBandSize w:val="1"/>
      <w:tblStyleColBandSize w:val="1"/>
      <w:tblCellMar>
        <w:top w:w="100" w:type="dxa"/>
        <w:left w:w="100" w:type="dxa"/>
        <w:bottom w:w="100" w:type="dxa"/>
        <w:right w:w="100" w:type="dxa"/>
      </w:tblCellMar>
    </w:tblPr>
  </w:style>
  <w:style w:type="table" w:customStyle="1" w:styleId="af">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mbria" w:eastAsia="Cambria" w:hAnsi="Cambria" w:cs="Cambria"/>
      <w:color w:val="000000"/>
      <w:sz w:val="24"/>
      <w:szCs w:val="24"/>
    </w:rPr>
    <w:tblPr>
      <w:tblStyleRowBandSize w:val="1"/>
      <w:tblStyleColBandSize w:val="1"/>
      <w:tblCellMar>
        <w:top w:w="100" w:type="dxa"/>
        <w:left w:w="100" w:type="dxa"/>
        <w:bottom w:w="100" w:type="dxa"/>
        <w:right w:w="100" w:type="dxa"/>
      </w:tblCellMar>
    </w:tblPr>
  </w:style>
  <w:style w:type="table" w:customStyle="1" w:styleId="af0">
    <w:basedOn w:val="TableNormal"/>
    <w:pPr>
      <w:pBdr>
        <w:top w:val="none" w:sz="0" w:space="0" w:color="000000"/>
        <w:left w:val="none" w:sz="0" w:space="0" w:color="000000"/>
        <w:bottom w:val="none" w:sz="0" w:space="0" w:color="000000"/>
        <w:right w:val="none" w:sz="0" w:space="0" w:color="000000"/>
        <w:between w:val="none" w:sz="0" w:space="0" w:color="000000"/>
      </w:pBdr>
      <w:spacing w:line="240" w:lineRule="auto"/>
    </w:pPr>
    <w:rPr>
      <w:rFonts w:ascii="Cambria" w:eastAsia="Cambria" w:hAnsi="Cambria" w:cs="Cambria"/>
      <w:color w:val="000000"/>
      <w:sz w:val="24"/>
      <w:szCs w:val="24"/>
    </w:rPr>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md.box.com/s/opmy7k1uibgoqfs8p9x984vz6nhj2vng"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umd.box.com/s/351w27igmomgwh0tvfpo69y4szo3u5i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umd.box.com/s/fo76ve69hosl7f89tv2mg32b0grmeaaz" TargetMode="Externa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umd.box.com/s/9ud976qys2e0waqy8uc552lot8nqrty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DB356644-9379-D942-9083-E1A4190AD589}">
  <we:reference id="139126ff-b288-4850-be10-fa2c0acf2ffe" version="3.0.0.0" store="EXCatalog" storeType="EXCatalog"/>
  <we:alternateReferences>
    <we:reference id="WA104379585" version="3.0.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2D64CEEF-C547-CC4E-83FD-13B918064EBB}">
  <we:reference id="f518cb36-c901-4d52-a9e7-4331342e485d" version="1.2.0.0" store="EXCatalog" storeType="EXCatalog"/>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T2HnRyLiFckCA4c2tb53pNDb1Q==">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21FD9ED-AD23-433D-A844-A9E5932BF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5776</Words>
  <Characters>32929</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Noel North</dc:creator>
  <cp:lastModifiedBy>Donna Noel North</cp:lastModifiedBy>
  <cp:revision>3</cp:revision>
  <dcterms:created xsi:type="dcterms:W3CDTF">2023-12-21T18:07:00Z</dcterms:created>
  <dcterms:modified xsi:type="dcterms:W3CDTF">2023-12-21T18:08:00Z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documentId_6712</vt:lpwstr>
  </property>
  <property fmtid="{D5CDD505-2E9C-101B-9397-08002B2CF9AE}" pid="3" name="grammarly_documentContext">
    <vt:lpwstr>{"goals":[],"domain":"general","emotions":[],"dialect":"american"}</vt:lpwstr>
  </property>
</Properties>
</file>